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D8FC6" w14:textId="77777777" w:rsidR="006770B5" w:rsidRDefault="003D73AC" w:rsidP="003D73AC">
      <w:pPr>
        <w:jc w:val="center"/>
      </w:pPr>
      <w:bookmarkStart w:id="0" w:name="_GoBack"/>
      <w:bookmarkEnd w:id="0"/>
      <w:r>
        <w:rPr>
          <w:noProof/>
          <w:lang w:eastAsia="en-IE"/>
        </w:rPr>
        <w:drawing>
          <wp:inline distT="0" distB="0" distL="0" distR="0" wp14:anchorId="5AE4B4CD" wp14:editId="12F8FFFB">
            <wp:extent cx="1933575" cy="1060833"/>
            <wp:effectExtent l="0" t="0" r="0" b="0"/>
            <wp:docPr id="2" name="Picture 2" descr="https://www.tcd.ie/diversity-inclusion/assets/images/AS_RGB_Bronze-Aw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cd.ie/diversity-inclusion/assets/images/AS_RGB_Bronze-Awar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1060833"/>
                    </a:xfrm>
                    <a:prstGeom prst="rect">
                      <a:avLst/>
                    </a:prstGeom>
                    <a:noFill/>
                    <a:ln>
                      <a:noFill/>
                    </a:ln>
                  </pic:spPr>
                </pic:pic>
              </a:graphicData>
            </a:graphic>
          </wp:inline>
        </w:drawing>
      </w:r>
    </w:p>
    <w:p w14:paraId="18015AA6" w14:textId="77777777" w:rsidR="006770B5" w:rsidRPr="006770B5" w:rsidRDefault="006770B5" w:rsidP="00913824">
      <w:pPr>
        <w:spacing w:line="240" w:lineRule="auto"/>
        <w:jc w:val="center"/>
        <w:rPr>
          <w:b/>
        </w:rPr>
      </w:pPr>
      <w:r w:rsidRPr="006770B5">
        <w:rPr>
          <w:b/>
        </w:rPr>
        <w:t>Chemistry Athena Swan Action Committee</w:t>
      </w:r>
      <w:r>
        <w:rPr>
          <w:b/>
        </w:rPr>
        <w:t>/Self-Assessment Team</w:t>
      </w:r>
      <w:r w:rsidRPr="006770B5">
        <w:rPr>
          <w:b/>
        </w:rPr>
        <w:t xml:space="preserve">: </w:t>
      </w:r>
    </w:p>
    <w:p w14:paraId="06FF633B" w14:textId="77777777" w:rsidR="006770B5" w:rsidRPr="006770B5" w:rsidRDefault="006770B5" w:rsidP="00913824">
      <w:pPr>
        <w:spacing w:line="240" w:lineRule="auto"/>
        <w:jc w:val="center"/>
        <w:rPr>
          <w:b/>
        </w:rPr>
      </w:pPr>
      <w:r w:rsidRPr="006770B5">
        <w:rPr>
          <w:b/>
        </w:rPr>
        <w:t xml:space="preserve">Membership: </w:t>
      </w:r>
    </w:p>
    <w:p w14:paraId="0E8E8882" w14:textId="77777777" w:rsidR="00EE1C8A" w:rsidRPr="00EE1C8A" w:rsidRDefault="00EE1C8A" w:rsidP="00EE1C8A">
      <w:pPr>
        <w:rPr>
          <w:rFonts w:cstheme="minorHAnsi"/>
        </w:rPr>
      </w:pPr>
      <w:r w:rsidRPr="00EE1C8A">
        <w:rPr>
          <w:rFonts w:cstheme="minorHAnsi"/>
          <w:color w:val="000000"/>
        </w:rPr>
        <w:t xml:space="preserve">Aidan McDonald &lt;aidan.mcdonald@tcd.ie&gt;; Eileen Drew &lt;EDREW@tcd.ie&gt;; Eva-Maria Dürr &lt;DURRE@tcd.ie&gt;; Isabel Rozas &lt;ROZASI@tcd.ie&gt;; Michael Lyons &lt;MELYONS@tcd.ie&gt;; P. Noelle Scully &lt;PNSCULLY@tcd.ie&gt;; Peter Brien &lt;Peter.Brien@tcd.ie&gt;; Sinead Boyce &lt;SBOYCE@tcd.ie&gt;; Susan Cantwell &lt;SCANTWE@tcd.ie&gt;; Graeme Watson &lt;watsong@tcd.ie&gt;; Parvaneh </w:t>
      </w:r>
      <w:proofErr w:type="spellStart"/>
      <w:r w:rsidRPr="00EE1C8A">
        <w:rPr>
          <w:rFonts w:cstheme="minorHAnsi"/>
          <w:color w:val="000000"/>
        </w:rPr>
        <w:t>Mokaria</w:t>
      </w:r>
      <w:proofErr w:type="spellEnd"/>
      <w:r w:rsidRPr="00EE1C8A">
        <w:rPr>
          <w:rFonts w:cstheme="minorHAnsi"/>
          <w:color w:val="000000"/>
        </w:rPr>
        <w:t>&lt;mokariap@tcd.ie&gt;; Maria Daniela Angione ANGIONEM@tcd.ie; Sylvia Draper &lt;SMDRAPER@tcd.ie&gt; (Chair)</w:t>
      </w:r>
    </w:p>
    <w:p w14:paraId="0D178DF0" w14:textId="77777777" w:rsidR="00EE1C8A" w:rsidRDefault="00EE1C8A" w:rsidP="00EE1C8A">
      <w:pPr>
        <w:spacing w:line="240" w:lineRule="auto"/>
        <w:jc w:val="center"/>
        <w:rPr>
          <w:b/>
        </w:rPr>
      </w:pPr>
    </w:p>
    <w:p w14:paraId="5BACF831" w14:textId="77777777" w:rsidR="006770B5" w:rsidRDefault="00EE1C8A" w:rsidP="00EE1C8A">
      <w:pPr>
        <w:spacing w:line="240" w:lineRule="auto"/>
        <w:jc w:val="center"/>
        <w:rPr>
          <w:b/>
        </w:rPr>
      </w:pPr>
      <w:r w:rsidRPr="006770B5">
        <w:rPr>
          <w:b/>
        </w:rPr>
        <w:t xml:space="preserve"> </w:t>
      </w:r>
      <w:r w:rsidR="006770B5" w:rsidRPr="006770B5">
        <w:rPr>
          <w:b/>
        </w:rPr>
        <w:t xml:space="preserve">Meeting </w:t>
      </w:r>
      <w:r>
        <w:rPr>
          <w:b/>
        </w:rPr>
        <w:t>3</w:t>
      </w:r>
      <w:r w:rsidR="006770B5" w:rsidRPr="006770B5">
        <w:rPr>
          <w:b/>
        </w:rPr>
        <w:t xml:space="preserve">:00 am </w:t>
      </w:r>
      <w:r>
        <w:rPr>
          <w:b/>
        </w:rPr>
        <w:t>Tues</w:t>
      </w:r>
      <w:r w:rsidR="006770B5" w:rsidRPr="006770B5">
        <w:rPr>
          <w:b/>
        </w:rPr>
        <w:t xml:space="preserve">day </w:t>
      </w:r>
      <w:r>
        <w:rPr>
          <w:b/>
        </w:rPr>
        <w:t>June 12th</w:t>
      </w:r>
      <w:r w:rsidR="006770B5" w:rsidRPr="006770B5">
        <w:rPr>
          <w:b/>
        </w:rPr>
        <w:t xml:space="preserve"> </w:t>
      </w:r>
      <w:r w:rsidR="006770B5">
        <w:rPr>
          <w:b/>
        </w:rPr>
        <w:t xml:space="preserve">2018, </w:t>
      </w:r>
      <w:r>
        <w:rPr>
          <w:b/>
        </w:rPr>
        <w:t>New Seminar Room</w:t>
      </w:r>
    </w:p>
    <w:p w14:paraId="15BA5EFF" w14:textId="77777777" w:rsidR="00913824" w:rsidRDefault="00913824" w:rsidP="00913824">
      <w:pPr>
        <w:spacing w:line="240" w:lineRule="auto"/>
        <w:rPr>
          <w:b/>
        </w:rPr>
      </w:pPr>
    </w:p>
    <w:p w14:paraId="29DB2565" w14:textId="77777777" w:rsidR="00913824" w:rsidRPr="00EE1C8A" w:rsidRDefault="006770B5" w:rsidP="00913824">
      <w:pPr>
        <w:spacing w:line="240" w:lineRule="auto"/>
        <w:ind w:left="450" w:hanging="450"/>
        <w:rPr>
          <w:rFonts w:cstheme="minorHAnsi"/>
          <w:b/>
        </w:rPr>
      </w:pPr>
      <w:r w:rsidRPr="00EE1C8A">
        <w:rPr>
          <w:rFonts w:cstheme="minorHAnsi"/>
          <w:b/>
        </w:rPr>
        <w:t>Agenda:</w:t>
      </w:r>
      <w:r w:rsidR="005672E8" w:rsidRPr="00EE1C8A">
        <w:rPr>
          <w:rFonts w:cstheme="minorHAnsi"/>
          <w:b/>
        </w:rPr>
        <w:t xml:space="preserve"> </w:t>
      </w:r>
    </w:p>
    <w:p w14:paraId="2E819C39" w14:textId="77777777" w:rsidR="00AB344F" w:rsidRDefault="00EE1C8A" w:rsidP="00AB344F">
      <w:pPr>
        <w:pStyle w:val="NormalWeb"/>
        <w:numPr>
          <w:ilvl w:val="0"/>
          <w:numId w:val="25"/>
        </w:numPr>
        <w:spacing w:line="360" w:lineRule="auto"/>
        <w:rPr>
          <w:rFonts w:asciiTheme="minorHAnsi" w:hAnsiTheme="minorHAnsi" w:cstheme="minorHAnsi"/>
          <w:color w:val="000000"/>
          <w:sz w:val="22"/>
          <w:szCs w:val="22"/>
        </w:rPr>
      </w:pPr>
      <w:r w:rsidRPr="00EE1C8A">
        <w:rPr>
          <w:rFonts w:asciiTheme="minorHAnsi" w:hAnsiTheme="minorHAnsi" w:cstheme="minorHAnsi"/>
          <w:color w:val="000000"/>
          <w:sz w:val="22"/>
          <w:szCs w:val="22"/>
        </w:rPr>
        <w:t>Apologies</w:t>
      </w:r>
      <w:r w:rsidRPr="00EE1C8A">
        <w:rPr>
          <w:rStyle w:val="apple-converted-space"/>
          <w:rFonts w:asciiTheme="minorHAnsi" w:hAnsiTheme="minorHAnsi" w:cstheme="minorHAnsi"/>
          <w:color w:val="000000"/>
          <w:sz w:val="22"/>
          <w:szCs w:val="22"/>
        </w:rPr>
        <w:t> </w:t>
      </w:r>
    </w:p>
    <w:p w14:paraId="5A7A1597" w14:textId="0DF44507" w:rsidR="00EE1C8A" w:rsidRPr="00AB344F" w:rsidRDefault="00EE1C8A" w:rsidP="00AB344F">
      <w:pPr>
        <w:pStyle w:val="NormalWeb"/>
        <w:numPr>
          <w:ilvl w:val="0"/>
          <w:numId w:val="25"/>
        </w:numPr>
        <w:spacing w:line="360" w:lineRule="auto"/>
        <w:rPr>
          <w:rFonts w:asciiTheme="minorHAnsi" w:hAnsiTheme="minorHAnsi" w:cstheme="minorHAnsi"/>
          <w:color w:val="000000"/>
          <w:sz w:val="22"/>
          <w:szCs w:val="22"/>
        </w:rPr>
      </w:pPr>
      <w:r w:rsidRPr="00AB344F">
        <w:rPr>
          <w:rFonts w:asciiTheme="minorHAnsi" w:hAnsiTheme="minorHAnsi" w:cstheme="minorHAnsi"/>
          <w:color w:val="000000"/>
          <w:sz w:val="22"/>
          <w:szCs w:val="22"/>
        </w:rPr>
        <w:t xml:space="preserve">Minutes of the previous meeting </w:t>
      </w:r>
    </w:p>
    <w:p w14:paraId="189B2DC1" w14:textId="62E3E739" w:rsidR="00EE1C8A" w:rsidRDefault="00EE1C8A" w:rsidP="00AB344F">
      <w:pPr>
        <w:pStyle w:val="NormalWeb"/>
        <w:numPr>
          <w:ilvl w:val="0"/>
          <w:numId w:val="25"/>
        </w:numPr>
        <w:spacing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Update on outstanding items</w:t>
      </w:r>
    </w:p>
    <w:p w14:paraId="14370E2C" w14:textId="5FFBD9F6" w:rsidR="00EE1C8A" w:rsidRPr="00EE1C8A" w:rsidRDefault="00EE1C8A" w:rsidP="00AB344F">
      <w:pPr>
        <w:pStyle w:val="NormalWeb"/>
        <w:numPr>
          <w:ilvl w:val="0"/>
          <w:numId w:val="25"/>
        </w:numPr>
        <w:spacing w:line="360" w:lineRule="auto"/>
        <w:rPr>
          <w:rFonts w:asciiTheme="minorHAnsi" w:hAnsiTheme="minorHAnsi" w:cstheme="minorHAnsi"/>
          <w:color w:val="000000"/>
          <w:sz w:val="22"/>
          <w:szCs w:val="22"/>
        </w:rPr>
      </w:pPr>
      <w:r w:rsidRPr="00EE1C8A">
        <w:rPr>
          <w:rFonts w:asciiTheme="minorHAnsi" w:hAnsiTheme="minorHAnsi" w:cstheme="minorHAnsi"/>
          <w:color w:val="000000"/>
          <w:sz w:val="22"/>
          <w:szCs w:val="22"/>
        </w:rPr>
        <w:t>Timeline for Renewal</w:t>
      </w:r>
      <w:r w:rsidRPr="00EE1C8A">
        <w:rPr>
          <w:rStyle w:val="apple-converted-space"/>
          <w:rFonts w:asciiTheme="minorHAnsi" w:hAnsiTheme="minorHAnsi" w:cstheme="minorHAnsi"/>
          <w:color w:val="000000"/>
          <w:sz w:val="22"/>
          <w:szCs w:val="22"/>
        </w:rPr>
        <w:t> </w:t>
      </w:r>
    </w:p>
    <w:p w14:paraId="1F276549" w14:textId="34FA4B96" w:rsidR="00EE1C8A" w:rsidRDefault="00EE1C8A" w:rsidP="00AB344F">
      <w:pPr>
        <w:pStyle w:val="NormalWeb"/>
        <w:numPr>
          <w:ilvl w:val="0"/>
          <w:numId w:val="25"/>
        </w:numPr>
        <w:spacing w:line="360" w:lineRule="auto"/>
        <w:rPr>
          <w:rFonts w:asciiTheme="minorHAnsi" w:hAnsiTheme="minorHAnsi" w:cstheme="minorHAnsi"/>
          <w:color w:val="000000"/>
          <w:sz w:val="22"/>
          <w:szCs w:val="22"/>
        </w:rPr>
      </w:pPr>
      <w:r w:rsidRPr="00EE1C8A">
        <w:rPr>
          <w:rFonts w:asciiTheme="minorHAnsi" w:hAnsiTheme="minorHAnsi" w:cstheme="minorHAnsi"/>
          <w:color w:val="000000"/>
          <w:sz w:val="22"/>
          <w:szCs w:val="22"/>
        </w:rPr>
        <w:t xml:space="preserve">Action Plan: </w:t>
      </w:r>
      <w:r>
        <w:rPr>
          <w:rFonts w:asciiTheme="minorHAnsi" w:hAnsiTheme="minorHAnsi" w:cstheme="minorHAnsi"/>
          <w:color w:val="000000"/>
          <w:sz w:val="22"/>
          <w:szCs w:val="22"/>
        </w:rPr>
        <w:t>Writing Assignments</w:t>
      </w:r>
    </w:p>
    <w:p w14:paraId="456556F2" w14:textId="29DCB33D" w:rsidR="00EE1C8A" w:rsidRDefault="00EE1C8A" w:rsidP="00AB344F">
      <w:pPr>
        <w:pStyle w:val="NormalWeb"/>
        <w:numPr>
          <w:ilvl w:val="0"/>
          <w:numId w:val="25"/>
        </w:numPr>
        <w:spacing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Review meetings ove</w:t>
      </w:r>
      <w:r w:rsidR="00AB344F">
        <w:rPr>
          <w:rFonts w:asciiTheme="minorHAnsi" w:hAnsiTheme="minorHAnsi" w:cstheme="minorHAnsi"/>
          <w:color w:val="000000"/>
          <w:sz w:val="22"/>
          <w:szCs w:val="22"/>
        </w:rPr>
        <w:t>r the summer: provisional dates to be determined via doodle</w:t>
      </w:r>
    </w:p>
    <w:p w14:paraId="5BC548F2" w14:textId="77777777" w:rsidR="00EE1C8A" w:rsidRPr="00EE1C8A" w:rsidRDefault="00EE1C8A" w:rsidP="00EE1C8A">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AOB</w:t>
      </w:r>
    </w:p>
    <w:p w14:paraId="3A8C4D3F" w14:textId="77777777" w:rsidR="00EE1C8A" w:rsidRDefault="00EE1C8A">
      <w:pPr>
        <w:rPr>
          <w:rFonts w:ascii="Calibri" w:eastAsia="Calibri" w:hAnsi="Calibri" w:cs="Calibri"/>
          <w:b/>
          <w:color w:val="000000"/>
          <w:sz w:val="32"/>
          <w:szCs w:val="32"/>
          <w:lang w:val="en-GB" w:eastAsia="en-GB"/>
        </w:rPr>
      </w:pPr>
      <w:r>
        <w:rPr>
          <w:sz w:val="32"/>
          <w:szCs w:val="32"/>
        </w:rPr>
        <w:br w:type="page"/>
      </w:r>
    </w:p>
    <w:p w14:paraId="337C41DB" w14:textId="77777777" w:rsidR="003D73AC" w:rsidRDefault="003D73AC" w:rsidP="00C477A0">
      <w:pPr>
        <w:pStyle w:val="Heading3"/>
        <w:ind w:left="360"/>
        <w:rPr>
          <w:sz w:val="32"/>
          <w:szCs w:val="32"/>
        </w:rPr>
      </w:pPr>
      <w:r>
        <w:rPr>
          <w:noProof/>
          <w:lang w:val="en-IE" w:eastAsia="en-IE"/>
        </w:rPr>
        <w:lastRenderedPageBreak/>
        <w:drawing>
          <wp:anchor distT="0" distB="0" distL="114300" distR="114300" simplePos="0" relativeHeight="251658240" behindDoc="1" locked="0" layoutInCell="1" allowOverlap="1" wp14:anchorId="7580FC0C" wp14:editId="70525D94">
            <wp:simplePos x="0" y="0"/>
            <wp:positionH relativeFrom="column">
              <wp:posOffset>1790700</wp:posOffset>
            </wp:positionH>
            <wp:positionV relativeFrom="paragraph">
              <wp:posOffset>-259080</wp:posOffset>
            </wp:positionV>
            <wp:extent cx="2152650" cy="1000125"/>
            <wp:effectExtent l="0" t="0" r="0" b="0"/>
            <wp:wrapSquare wrapText="bothSides"/>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2152650" cy="1000125"/>
                    </a:xfrm>
                    <a:prstGeom prst="rect">
                      <a:avLst/>
                    </a:prstGeom>
                    <a:ln/>
                  </pic:spPr>
                </pic:pic>
              </a:graphicData>
            </a:graphic>
            <wp14:sizeRelH relativeFrom="page">
              <wp14:pctWidth>0</wp14:pctWidth>
            </wp14:sizeRelH>
            <wp14:sizeRelV relativeFrom="page">
              <wp14:pctHeight>0</wp14:pctHeight>
            </wp14:sizeRelV>
          </wp:anchor>
        </w:drawing>
      </w:r>
    </w:p>
    <w:p w14:paraId="40F72B7A" w14:textId="77777777" w:rsidR="003D73AC" w:rsidRDefault="003D73AC" w:rsidP="00C477A0">
      <w:pPr>
        <w:pStyle w:val="Heading3"/>
        <w:ind w:left="360"/>
        <w:rPr>
          <w:sz w:val="32"/>
          <w:szCs w:val="32"/>
        </w:rPr>
      </w:pPr>
    </w:p>
    <w:p w14:paraId="654BB4A5" w14:textId="77777777" w:rsidR="00EE1C8A" w:rsidRDefault="00EE1C8A" w:rsidP="00C477A0">
      <w:pPr>
        <w:pStyle w:val="Heading3"/>
        <w:ind w:left="360"/>
        <w:rPr>
          <w:sz w:val="32"/>
          <w:szCs w:val="32"/>
        </w:rPr>
      </w:pPr>
    </w:p>
    <w:p w14:paraId="245E092A" w14:textId="4F39DAAF" w:rsidR="00C477A0" w:rsidRPr="005672E8" w:rsidRDefault="00C477A0" w:rsidP="00C45E15">
      <w:pPr>
        <w:pStyle w:val="Heading3"/>
        <w:ind w:left="360"/>
        <w:jc w:val="center"/>
        <w:rPr>
          <w:sz w:val="32"/>
          <w:szCs w:val="32"/>
        </w:rPr>
      </w:pPr>
      <w:r w:rsidRPr="005672E8">
        <w:rPr>
          <w:sz w:val="32"/>
          <w:szCs w:val="32"/>
        </w:rPr>
        <w:t>Silver Athena Swan Application Form:</w:t>
      </w:r>
    </w:p>
    <w:p w14:paraId="1D1BE2A4" w14:textId="77777777" w:rsidR="00F07518" w:rsidRDefault="00F07518" w:rsidP="00F07518">
      <w:pPr>
        <w:spacing w:before="100" w:beforeAutospacing="1" w:after="100" w:afterAutospacing="1" w:line="240" w:lineRule="auto"/>
        <w:rPr>
          <w:rFonts w:ascii="Calibri" w:eastAsia="Calibri" w:hAnsi="Calibri" w:cs="Calibri"/>
          <w:b/>
          <w:color w:val="000000"/>
          <w:lang w:val="en-GB" w:eastAsia="en-GB"/>
        </w:rPr>
      </w:pPr>
    </w:p>
    <w:p w14:paraId="4D26AA38" w14:textId="39F5932C" w:rsidR="00F07518" w:rsidRPr="00F07518" w:rsidRDefault="00F07518" w:rsidP="00F07518">
      <w:pPr>
        <w:spacing w:before="100" w:beforeAutospacing="1" w:after="100" w:afterAutospacing="1" w:line="240" w:lineRule="auto"/>
        <w:rPr>
          <w:rFonts w:eastAsia="Times New Roman" w:cstheme="minorHAnsi"/>
          <w:b/>
          <w:color w:val="000000"/>
        </w:rPr>
      </w:pPr>
      <w:r w:rsidRPr="00F07518">
        <w:rPr>
          <w:rFonts w:eastAsia="Times New Roman" w:cstheme="minorHAnsi"/>
          <w:b/>
          <w:color w:val="000000"/>
        </w:rPr>
        <w:t>Athena SWAN Silver department award application (Ireland)</w:t>
      </w:r>
      <w:r w:rsidRPr="00C45E15">
        <w:rPr>
          <w:rFonts w:eastAsia="Times New Roman" w:cstheme="minorHAnsi"/>
          <w:b/>
          <w:color w:val="000000"/>
        </w:rPr>
        <w:t> </w:t>
      </w:r>
    </w:p>
    <w:p w14:paraId="5F5D0008" w14:textId="77777777" w:rsidR="00F07518" w:rsidRPr="00F07518" w:rsidRDefault="00F07518" w:rsidP="00F07518">
      <w:pPr>
        <w:spacing w:before="100" w:beforeAutospacing="1" w:after="100" w:afterAutospacing="1" w:line="240" w:lineRule="auto"/>
        <w:rPr>
          <w:rFonts w:eastAsia="Times New Roman" w:cstheme="minorHAnsi"/>
          <w:color w:val="000000"/>
        </w:rPr>
      </w:pPr>
      <w:r w:rsidRPr="00F07518">
        <w:rPr>
          <w:rFonts w:eastAsia="Times New Roman" w:cstheme="minorHAnsi"/>
          <w:color w:val="000000"/>
        </w:rPr>
        <w:t>Name of institution: </w:t>
      </w:r>
    </w:p>
    <w:p w14:paraId="0DD71D02" w14:textId="77777777" w:rsidR="00F07518" w:rsidRPr="00F07518" w:rsidRDefault="00F07518" w:rsidP="00F07518">
      <w:pPr>
        <w:spacing w:before="100" w:beforeAutospacing="1" w:after="100" w:afterAutospacing="1" w:line="240" w:lineRule="auto"/>
        <w:rPr>
          <w:rFonts w:eastAsia="Times New Roman" w:cstheme="minorHAnsi"/>
          <w:color w:val="000000"/>
        </w:rPr>
      </w:pPr>
      <w:r w:rsidRPr="00F07518">
        <w:rPr>
          <w:rFonts w:eastAsia="Times New Roman" w:cstheme="minorHAnsi"/>
          <w:color w:val="000000"/>
        </w:rPr>
        <w:t>Department: </w:t>
      </w:r>
    </w:p>
    <w:p w14:paraId="10809100" w14:textId="77777777" w:rsidR="00F07518" w:rsidRPr="00F07518" w:rsidRDefault="00F07518" w:rsidP="00F07518">
      <w:pPr>
        <w:spacing w:before="100" w:beforeAutospacing="1" w:after="100" w:afterAutospacing="1" w:line="240" w:lineRule="auto"/>
        <w:rPr>
          <w:rFonts w:eastAsia="Times New Roman" w:cstheme="minorHAnsi"/>
          <w:color w:val="000000"/>
        </w:rPr>
      </w:pPr>
      <w:r w:rsidRPr="00F07518">
        <w:rPr>
          <w:rFonts w:eastAsia="Times New Roman" w:cstheme="minorHAnsi"/>
          <w:color w:val="000000"/>
        </w:rPr>
        <w:t>Date and level of current department Athena SWAN award (if applicable): </w:t>
      </w:r>
    </w:p>
    <w:p w14:paraId="2F47541D" w14:textId="77777777" w:rsidR="00F07518" w:rsidRPr="00F07518" w:rsidRDefault="00F07518" w:rsidP="00F07518">
      <w:pPr>
        <w:spacing w:before="100" w:beforeAutospacing="1" w:after="100" w:afterAutospacing="1" w:line="240" w:lineRule="auto"/>
        <w:rPr>
          <w:rFonts w:eastAsia="Times New Roman" w:cstheme="minorHAnsi"/>
          <w:color w:val="000000"/>
        </w:rPr>
      </w:pPr>
      <w:r w:rsidRPr="00F07518">
        <w:rPr>
          <w:rFonts w:eastAsia="Times New Roman" w:cstheme="minorHAnsi"/>
          <w:color w:val="000000"/>
        </w:rPr>
        <w:t>Date of application: </w:t>
      </w:r>
    </w:p>
    <w:p w14:paraId="5E72AF54" w14:textId="77777777" w:rsidR="00F07518" w:rsidRPr="00F07518" w:rsidRDefault="00F07518" w:rsidP="00F07518">
      <w:pPr>
        <w:spacing w:before="100" w:beforeAutospacing="1" w:after="100" w:afterAutospacing="1" w:line="240" w:lineRule="auto"/>
        <w:rPr>
          <w:rFonts w:eastAsia="Times New Roman" w:cstheme="minorHAnsi"/>
          <w:color w:val="000000"/>
        </w:rPr>
      </w:pPr>
      <w:r w:rsidRPr="00F07518">
        <w:rPr>
          <w:rFonts w:eastAsia="Times New Roman" w:cstheme="minorHAnsi"/>
          <w:color w:val="000000"/>
        </w:rPr>
        <w:t>Date and level of institutional Athena SWAN award: </w:t>
      </w:r>
    </w:p>
    <w:p w14:paraId="70BD1EB3" w14:textId="77777777" w:rsidR="00F07518" w:rsidRPr="00F07518" w:rsidRDefault="00F07518" w:rsidP="00F07518">
      <w:pPr>
        <w:spacing w:before="100" w:beforeAutospacing="1" w:after="100" w:afterAutospacing="1" w:line="240" w:lineRule="auto"/>
        <w:rPr>
          <w:rFonts w:eastAsia="Times New Roman" w:cstheme="minorHAnsi"/>
          <w:color w:val="000000"/>
        </w:rPr>
      </w:pPr>
      <w:r w:rsidRPr="00F07518">
        <w:rPr>
          <w:rFonts w:eastAsia="Times New Roman" w:cstheme="minorHAnsi"/>
          <w:color w:val="000000"/>
        </w:rPr>
        <w:t>Contact for application (must be based in the department): </w:t>
      </w:r>
    </w:p>
    <w:p w14:paraId="224FBC87" w14:textId="77777777" w:rsidR="00F07518" w:rsidRPr="00F07518" w:rsidRDefault="00F07518" w:rsidP="00F07518">
      <w:pPr>
        <w:spacing w:before="100" w:beforeAutospacing="1" w:after="100" w:afterAutospacing="1" w:line="240" w:lineRule="auto"/>
        <w:rPr>
          <w:rFonts w:eastAsia="Times New Roman" w:cstheme="minorHAnsi"/>
          <w:color w:val="000000"/>
        </w:rPr>
      </w:pPr>
      <w:r w:rsidRPr="00F07518">
        <w:rPr>
          <w:rFonts w:eastAsia="Times New Roman" w:cstheme="minorHAnsi"/>
          <w:color w:val="000000"/>
        </w:rPr>
        <w:t>Email: </w:t>
      </w:r>
    </w:p>
    <w:p w14:paraId="6800587D" w14:textId="77777777" w:rsidR="00F07518" w:rsidRPr="00F07518" w:rsidRDefault="00F07518" w:rsidP="00F07518">
      <w:pPr>
        <w:spacing w:before="100" w:beforeAutospacing="1" w:after="100" w:afterAutospacing="1" w:line="240" w:lineRule="auto"/>
        <w:rPr>
          <w:rFonts w:eastAsia="Times New Roman" w:cstheme="minorHAnsi"/>
          <w:color w:val="000000"/>
        </w:rPr>
      </w:pPr>
      <w:r w:rsidRPr="00F07518">
        <w:rPr>
          <w:rFonts w:eastAsia="Times New Roman" w:cstheme="minorHAnsi"/>
          <w:color w:val="000000"/>
        </w:rPr>
        <w:t>Telephone: </w:t>
      </w:r>
    </w:p>
    <w:p w14:paraId="704F9E41" w14:textId="487B6D4C" w:rsidR="00F07518" w:rsidRPr="00F07518" w:rsidRDefault="00F07518" w:rsidP="00F07518">
      <w:pPr>
        <w:spacing w:before="100" w:beforeAutospacing="1" w:after="100" w:afterAutospacing="1" w:line="240" w:lineRule="auto"/>
        <w:rPr>
          <w:rFonts w:eastAsia="Times New Roman" w:cstheme="minorHAnsi"/>
          <w:color w:val="000000"/>
        </w:rPr>
      </w:pPr>
      <w:r w:rsidRPr="00F07518">
        <w:rPr>
          <w:rFonts w:eastAsia="Times New Roman" w:cstheme="minorHAnsi"/>
          <w:color w:val="000000"/>
          <w:highlight w:val="yellow"/>
        </w:rPr>
        <w:t>Department website address: </w:t>
      </w:r>
      <w:proofErr w:type="spellStart"/>
      <w:r w:rsidRPr="00F07518">
        <w:rPr>
          <w:rFonts w:eastAsia="Times New Roman" w:cstheme="minorHAnsi"/>
          <w:color w:val="000000"/>
          <w:highlight w:val="yellow"/>
        </w:rPr>
        <w:t>AMcD</w:t>
      </w:r>
      <w:proofErr w:type="spellEnd"/>
    </w:p>
    <w:p w14:paraId="39772491" w14:textId="77777777" w:rsidR="00F07518" w:rsidRPr="00F07518" w:rsidRDefault="00F07518" w:rsidP="00F07518">
      <w:pPr>
        <w:spacing w:before="100" w:beforeAutospacing="1" w:after="100" w:afterAutospacing="1" w:line="240" w:lineRule="auto"/>
        <w:rPr>
          <w:rFonts w:eastAsia="Times New Roman" w:cstheme="minorHAnsi"/>
          <w:color w:val="000000"/>
        </w:rPr>
      </w:pPr>
      <w:r w:rsidRPr="00F07518">
        <w:rPr>
          <w:rFonts w:eastAsia="Times New Roman" w:cstheme="minorHAnsi"/>
          <w:color w:val="000000"/>
        </w:rPr>
        <w:t>An Athena SWAN Silver Department award recognises that, in addition to the future planning required for Bronze department recognition, the department has taken action in response to previously identified challenges (within or without the Athena SWAN process) and can demonstrate the impact of implemented actions. </w:t>
      </w:r>
    </w:p>
    <w:p w14:paraId="2AC29962" w14:textId="77777777" w:rsidR="00F07518" w:rsidRPr="00F07518" w:rsidRDefault="00F07518" w:rsidP="00F07518">
      <w:pPr>
        <w:spacing w:before="100" w:beforeAutospacing="1" w:after="100" w:afterAutospacing="1" w:line="240" w:lineRule="auto"/>
        <w:rPr>
          <w:rFonts w:eastAsia="Times New Roman" w:cstheme="minorHAnsi"/>
          <w:color w:val="000000"/>
        </w:rPr>
      </w:pPr>
      <w:r w:rsidRPr="00F07518">
        <w:rPr>
          <w:rFonts w:eastAsia="Times New Roman" w:cstheme="minorHAnsi"/>
          <w:color w:val="000000"/>
        </w:rPr>
        <w:t>Nomenclature </w:t>
      </w:r>
    </w:p>
    <w:p w14:paraId="0682FBC1" w14:textId="77777777" w:rsidR="00F07518" w:rsidRPr="00F07518" w:rsidRDefault="00F07518" w:rsidP="00F07518">
      <w:pPr>
        <w:spacing w:before="100" w:beforeAutospacing="1" w:after="100" w:afterAutospacing="1" w:line="240" w:lineRule="auto"/>
        <w:rPr>
          <w:rFonts w:eastAsia="Times New Roman" w:cstheme="minorHAnsi"/>
          <w:color w:val="000000"/>
        </w:rPr>
      </w:pPr>
      <w:r w:rsidRPr="00F07518">
        <w:rPr>
          <w:rFonts w:eastAsia="Times New Roman" w:cstheme="minorHAnsi"/>
          <w:color w:val="000000"/>
        </w:rPr>
        <w:t>Athena SWAN recognises that institutions operate a range of academic and management structures, and not all use the term ‘department’. There are many academic groupings with different names, sizes and compositions. It is down to the individual institution to decide the composition of units that put forward award applications. If in doubt, contact the Athena SWAN team well in advance to check eligibility. </w:t>
      </w:r>
    </w:p>
    <w:p w14:paraId="6A00C299" w14:textId="77777777" w:rsidR="00F07518" w:rsidRPr="00F07518" w:rsidRDefault="00F07518" w:rsidP="00F07518">
      <w:pPr>
        <w:spacing w:before="100" w:beforeAutospacing="1" w:after="100" w:afterAutospacing="1" w:line="240" w:lineRule="auto"/>
        <w:rPr>
          <w:rFonts w:eastAsia="Times New Roman" w:cstheme="minorHAnsi"/>
          <w:color w:val="000000"/>
        </w:rPr>
      </w:pPr>
      <w:r w:rsidRPr="00F07518">
        <w:rPr>
          <w:rFonts w:eastAsia="Times New Roman" w:cstheme="minorHAnsi"/>
          <w:color w:val="000000"/>
        </w:rPr>
        <w:t>Sections to be included </w:t>
      </w:r>
    </w:p>
    <w:p w14:paraId="3A365D38" w14:textId="77777777" w:rsidR="00F07518" w:rsidRPr="00F07518" w:rsidRDefault="00F07518" w:rsidP="00F07518">
      <w:pPr>
        <w:spacing w:before="100" w:beforeAutospacing="1" w:after="100" w:afterAutospacing="1" w:line="240" w:lineRule="auto"/>
        <w:rPr>
          <w:rFonts w:eastAsia="Times New Roman" w:cstheme="minorHAnsi"/>
          <w:color w:val="000000"/>
        </w:rPr>
      </w:pPr>
      <w:r w:rsidRPr="00F07518">
        <w:rPr>
          <w:rFonts w:eastAsia="Times New Roman" w:cstheme="minorHAnsi"/>
          <w:color w:val="000000"/>
        </w:rPr>
        <w:t>Where there are no data available for a specific question, please explain the reason for the absence of data and how this is being addressed. Click here for additional guidance on completing the template. </w:t>
      </w:r>
    </w:p>
    <w:p w14:paraId="52A30DED" w14:textId="77777777" w:rsidR="00F07518" w:rsidRPr="00F07518" w:rsidRDefault="00F07518" w:rsidP="00F07518">
      <w:pPr>
        <w:spacing w:before="100" w:beforeAutospacing="1" w:after="100" w:afterAutospacing="1" w:line="240" w:lineRule="auto"/>
        <w:rPr>
          <w:rFonts w:eastAsia="Times New Roman" w:cstheme="minorHAnsi"/>
          <w:color w:val="000000"/>
        </w:rPr>
      </w:pPr>
      <w:r w:rsidRPr="00F07518">
        <w:rPr>
          <w:rFonts w:eastAsia="Times New Roman" w:cstheme="minorHAnsi"/>
          <w:color w:val="000000"/>
        </w:rPr>
        <w:lastRenderedPageBreak/>
        <w:t>Word count </w:t>
      </w:r>
    </w:p>
    <w:p w14:paraId="1FF51DF0" w14:textId="68F9B8D3" w:rsidR="00F07518" w:rsidRPr="00F07518" w:rsidRDefault="00F07518" w:rsidP="00F07518">
      <w:pPr>
        <w:spacing w:before="100" w:beforeAutospacing="1" w:after="100" w:afterAutospacing="1" w:line="240" w:lineRule="auto"/>
        <w:rPr>
          <w:rFonts w:eastAsia="Times New Roman" w:cstheme="minorHAnsi"/>
          <w:color w:val="000000"/>
        </w:rPr>
      </w:pPr>
      <w:r w:rsidRPr="00F07518">
        <w:rPr>
          <w:rFonts w:eastAsia="Times New Roman" w:cstheme="minorHAnsi"/>
          <w:color w:val="000000"/>
        </w:rPr>
        <w:t>The overall limit is 9800 words. There are no specific word limits for the individual sections, and you may distribute words over each of the sections as appropriate. At the end of every section, please state how many words you have used in that section. We have provided recommended word counts as a guide. </w:t>
      </w:r>
    </w:p>
    <w:p w14:paraId="56D4D5CA" w14:textId="77777777" w:rsidR="00C45E15" w:rsidRDefault="00F07518" w:rsidP="00F07518">
      <w:pPr>
        <w:spacing w:before="100" w:beforeAutospacing="1" w:after="100" w:afterAutospacing="1" w:line="240" w:lineRule="auto"/>
        <w:rPr>
          <w:rFonts w:eastAsia="Times New Roman" w:cstheme="minorHAnsi"/>
          <w:color w:val="000000"/>
        </w:rPr>
      </w:pPr>
      <w:r w:rsidRPr="00F07518">
        <w:rPr>
          <w:rFonts w:eastAsia="Times New Roman" w:cstheme="minorHAnsi"/>
          <w:color w:val="000000"/>
        </w:rPr>
        <w:t>Note: When formatting the application, please ensure that this cover page precedes the rest of the submission, including the letter of endorsement.</w:t>
      </w:r>
    </w:p>
    <w:p w14:paraId="198A49C5" w14:textId="79874E54" w:rsidR="00F07518" w:rsidRPr="00F07518" w:rsidRDefault="00F07518" w:rsidP="00F07518">
      <w:pPr>
        <w:spacing w:before="100" w:beforeAutospacing="1" w:after="100" w:afterAutospacing="1" w:line="240" w:lineRule="auto"/>
        <w:rPr>
          <w:rFonts w:eastAsia="Times New Roman" w:cstheme="minorHAnsi"/>
          <w:color w:val="000000"/>
        </w:rPr>
      </w:pPr>
      <w:r w:rsidRPr="00F07518">
        <w:rPr>
          <w:rFonts w:eastAsia="Times New Roman" w:cstheme="minorHAnsi"/>
          <w:color w:val="000000"/>
        </w:rPr>
        <w:t> </w:t>
      </w:r>
    </w:p>
    <w:p w14:paraId="693CCC47" w14:textId="584C7FB7" w:rsidR="00F07518" w:rsidRPr="00F07518" w:rsidRDefault="00F07518" w:rsidP="00F07518">
      <w:pPr>
        <w:spacing w:before="100" w:beforeAutospacing="1" w:after="100" w:afterAutospacing="1" w:line="240" w:lineRule="auto"/>
        <w:rPr>
          <w:rFonts w:eastAsia="Times New Roman" w:cstheme="minorHAnsi"/>
          <w:b/>
          <w:color w:val="000000"/>
        </w:rPr>
      </w:pPr>
      <w:r w:rsidRPr="00F07518">
        <w:rPr>
          <w:rFonts w:eastAsia="Times New Roman" w:cstheme="minorHAnsi"/>
          <w:b/>
          <w:color w:val="000000"/>
          <w:highlight w:val="yellow"/>
        </w:rPr>
        <w:t>1. Letter of endorsement from the head of department: recommended 500 words</w:t>
      </w:r>
      <w:r w:rsidRPr="00C45E15">
        <w:rPr>
          <w:rFonts w:eastAsia="Times New Roman" w:cstheme="minorHAnsi"/>
          <w:b/>
          <w:color w:val="000000"/>
        </w:rPr>
        <w:t xml:space="preserve"> </w:t>
      </w:r>
      <w:r w:rsidRPr="00C45E15">
        <w:rPr>
          <w:rFonts w:eastAsia="Times New Roman" w:cstheme="minorHAnsi"/>
          <w:b/>
          <w:color w:val="000000"/>
          <w:highlight w:val="yellow"/>
        </w:rPr>
        <w:t>MEGL</w:t>
      </w:r>
      <w:r w:rsidRPr="00C45E15">
        <w:rPr>
          <w:rFonts w:eastAsia="Times New Roman" w:cstheme="minorHAnsi"/>
          <w:b/>
          <w:color w:val="000000"/>
        </w:rPr>
        <w:t> </w:t>
      </w:r>
    </w:p>
    <w:p w14:paraId="5C75A518" w14:textId="77777777" w:rsidR="00F07518" w:rsidRPr="00F07518" w:rsidRDefault="00F07518" w:rsidP="00F07518">
      <w:pPr>
        <w:spacing w:before="100" w:beforeAutospacing="1" w:after="100" w:afterAutospacing="1" w:line="240" w:lineRule="auto"/>
        <w:rPr>
          <w:rFonts w:eastAsia="Times New Roman" w:cstheme="minorHAnsi"/>
          <w:color w:val="000000"/>
        </w:rPr>
      </w:pPr>
      <w:r w:rsidRPr="00F07518">
        <w:rPr>
          <w:rFonts w:eastAsia="Times New Roman" w:cstheme="minorHAnsi"/>
          <w:color w:val="000000"/>
        </w:rPr>
        <w:t>An accompanying letter of endorsement from the head of department should: </w:t>
      </w:r>
    </w:p>
    <w:p w14:paraId="284B79BD" w14:textId="77777777" w:rsidR="00F07518" w:rsidRPr="00F07518" w:rsidRDefault="00F07518" w:rsidP="00F07518">
      <w:pPr>
        <w:spacing w:before="100" w:beforeAutospacing="1" w:after="100" w:afterAutospacing="1" w:line="240" w:lineRule="auto"/>
        <w:rPr>
          <w:rFonts w:eastAsia="Times New Roman" w:cstheme="minorHAnsi"/>
          <w:color w:val="000000"/>
        </w:rPr>
      </w:pPr>
      <w:r w:rsidRPr="00F07518">
        <w:rPr>
          <w:rFonts w:eastAsia="Times New Roman" w:cstheme="minorHAnsi"/>
          <w:color w:val="000000"/>
        </w:rPr>
        <w:t>(</w:t>
      </w:r>
      <w:proofErr w:type="spellStart"/>
      <w:r w:rsidRPr="00F07518">
        <w:rPr>
          <w:rFonts w:eastAsia="Times New Roman" w:cstheme="minorHAnsi"/>
          <w:color w:val="000000"/>
        </w:rPr>
        <w:t>i</w:t>
      </w:r>
      <w:proofErr w:type="spellEnd"/>
      <w:r w:rsidRPr="00F07518">
        <w:rPr>
          <w:rFonts w:eastAsia="Times New Roman" w:cstheme="minorHAnsi"/>
          <w:color w:val="000000"/>
        </w:rPr>
        <w:t>) confirm their support for the application; </w:t>
      </w:r>
    </w:p>
    <w:p w14:paraId="728A1056" w14:textId="77777777" w:rsidR="00F07518" w:rsidRPr="00F07518" w:rsidRDefault="00F07518" w:rsidP="00F07518">
      <w:pPr>
        <w:spacing w:before="100" w:beforeAutospacing="1" w:after="100" w:afterAutospacing="1" w:line="240" w:lineRule="auto"/>
        <w:rPr>
          <w:rFonts w:eastAsia="Times New Roman" w:cstheme="minorHAnsi"/>
          <w:color w:val="000000"/>
        </w:rPr>
      </w:pPr>
      <w:r w:rsidRPr="00F07518">
        <w:rPr>
          <w:rFonts w:eastAsia="Times New Roman" w:cstheme="minorHAnsi"/>
          <w:color w:val="000000"/>
        </w:rPr>
        <w:t>(ii) explain how the Athena SWAN action plan and activities in the department contribute to the overall department and/or university strategy; </w:t>
      </w:r>
    </w:p>
    <w:p w14:paraId="35A1BACA" w14:textId="77777777" w:rsidR="00F07518" w:rsidRPr="00F07518" w:rsidRDefault="00F07518" w:rsidP="00F07518">
      <w:pPr>
        <w:spacing w:before="100" w:beforeAutospacing="1" w:after="100" w:afterAutospacing="1" w:line="240" w:lineRule="auto"/>
        <w:rPr>
          <w:rFonts w:eastAsia="Times New Roman" w:cstheme="minorHAnsi"/>
          <w:color w:val="000000"/>
        </w:rPr>
      </w:pPr>
      <w:r w:rsidRPr="00F07518">
        <w:rPr>
          <w:rFonts w:eastAsia="Times New Roman" w:cstheme="minorHAnsi"/>
          <w:color w:val="000000"/>
        </w:rPr>
        <w:t>(iii) comment on how staff at all levels are, and will continue to be, engaged with the process at present and during the lifetime of the award. </w:t>
      </w:r>
    </w:p>
    <w:p w14:paraId="1887A17D" w14:textId="3E1A882A" w:rsidR="00F07518" w:rsidRDefault="00F07518" w:rsidP="00F07518">
      <w:pPr>
        <w:spacing w:before="100" w:beforeAutospacing="1" w:after="100" w:afterAutospacing="1" w:line="240" w:lineRule="auto"/>
        <w:rPr>
          <w:rFonts w:eastAsia="Times New Roman" w:cstheme="minorHAnsi"/>
          <w:color w:val="000000"/>
        </w:rPr>
      </w:pPr>
      <w:r w:rsidRPr="00F07518">
        <w:rPr>
          <w:rFonts w:eastAsia="Times New Roman" w:cstheme="minorHAnsi"/>
          <w:color w:val="000000"/>
        </w:rPr>
        <w:t>Note: If the head of department is shortly to be/has been recently succeeded, applicants may include an additional short statement from the incoming head. </w:t>
      </w:r>
    </w:p>
    <w:p w14:paraId="1AE68EAC" w14:textId="77777777" w:rsidR="00C45E15" w:rsidRPr="00F07518" w:rsidRDefault="00C45E15" w:rsidP="00F07518">
      <w:pPr>
        <w:spacing w:before="100" w:beforeAutospacing="1" w:after="100" w:afterAutospacing="1" w:line="240" w:lineRule="auto"/>
        <w:rPr>
          <w:rFonts w:eastAsia="Times New Roman" w:cstheme="minorHAnsi"/>
          <w:color w:val="000000"/>
        </w:rPr>
      </w:pPr>
    </w:p>
    <w:p w14:paraId="264B048A" w14:textId="77777777" w:rsidR="00F07518" w:rsidRPr="00F07518" w:rsidRDefault="00F07518" w:rsidP="00F07518">
      <w:pPr>
        <w:spacing w:before="100" w:beforeAutospacing="1" w:after="100" w:afterAutospacing="1" w:line="240" w:lineRule="auto"/>
        <w:rPr>
          <w:rFonts w:eastAsia="Times New Roman" w:cstheme="minorHAnsi"/>
          <w:b/>
          <w:color w:val="000000"/>
        </w:rPr>
      </w:pPr>
      <w:r w:rsidRPr="00F07518">
        <w:rPr>
          <w:rFonts w:eastAsia="Times New Roman" w:cstheme="minorHAnsi"/>
          <w:b/>
          <w:color w:val="000000"/>
        </w:rPr>
        <w:t>2. The self-assessment process: recommended 800 words</w:t>
      </w:r>
      <w:r w:rsidRPr="00C45E15">
        <w:rPr>
          <w:rFonts w:eastAsia="Times New Roman" w:cstheme="minorHAnsi"/>
          <w:b/>
          <w:color w:val="000000"/>
        </w:rPr>
        <w:t> </w:t>
      </w:r>
    </w:p>
    <w:p w14:paraId="44CF4E0E" w14:textId="77777777" w:rsidR="00C45E15" w:rsidRDefault="00F07518" w:rsidP="00F07518">
      <w:pPr>
        <w:spacing w:before="100" w:beforeAutospacing="1" w:after="100" w:afterAutospacing="1" w:line="240" w:lineRule="auto"/>
        <w:rPr>
          <w:rFonts w:eastAsia="Times New Roman" w:cstheme="minorHAnsi"/>
          <w:color w:val="000000"/>
          <w:highlight w:val="yellow"/>
        </w:rPr>
      </w:pPr>
      <w:r w:rsidRPr="00F07518">
        <w:rPr>
          <w:rFonts w:eastAsia="Times New Roman" w:cstheme="minorHAnsi"/>
          <w:color w:val="000000"/>
          <w:highlight w:val="yellow"/>
        </w:rPr>
        <w:t xml:space="preserve">Describe the self-assessment process. </w:t>
      </w:r>
      <w:r w:rsidR="00C45E15">
        <w:rPr>
          <w:rFonts w:eastAsia="Times New Roman" w:cstheme="minorHAnsi"/>
          <w:color w:val="000000"/>
          <w:highlight w:val="yellow"/>
        </w:rPr>
        <w:t>SMD</w:t>
      </w:r>
    </w:p>
    <w:p w14:paraId="26F9EA97" w14:textId="5FF24CD2" w:rsidR="00F07518" w:rsidRPr="00F07518" w:rsidRDefault="00F07518" w:rsidP="00F07518">
      <w:pPr>
        <w:spacing w:before="100" w:beforeAutospacing="1" w:after="100" w:afterAutospacing="1" w:line="240" w:lineRule="auto"/>
        <w:rPr>
          <w:rFonts w:eastAsia="Times New Roman" w:cstheme="minorHAnsi"/>
          <w:color w:val="000000"/>
        </w:rPr>
      </w:pPr>
      <w:r w:rsidRPr="00F07518">
        <w:rPr>
          <w:rFonts w:eastAsia="Times New Roman" w:cstheme="minorHAnsi"/>
          <w:color w:val="000000"/>
        </w:rPr>
        <w:t>This should include:</w:t>
      </w:r>
      <w:r>
        <w:rPr>
          <w:rFonts w:eastAsia="Times New Roman" w:cstheme="minorHAnsi"/>
          <w:color w:val="000000"/>
        </w:rPr>
        <w:t xml:space="preserve"> </w:t>
      </w:r>
    </w:p>
    <w:p w14:paraId="5CA96F22" w14:textId="77777777" w:rsidR="00F07518" w:rsidRPr="00F07518" w:rsidRDefault="00F07518" w:rsidP="00F07518">
      <w:pPr>
        <w:spacing w:before="100" w:beforeAutospacing="1" w:after="100" w:afterAutospacing="1" w:line="240" w:lineRule="auto"/>
        <w:rPr>
          <w:rFonts w:eastAsia="Times New Roman" w:cstheme="minorHAnsi"/>
          <w:color w:val="000000"/>
        </w:rPr>
      </w:pPr>
      <w:r w:rsidRPr="00F07518">
        <w:rPr>
          <w:rFonts w:eastAsia="Times New Roman" w:cstheme="minorHAnsi"/>
          <w:color w:val="000000"/>
        </w:rPr>
        <w:t>(</w:t>
      </w:r>
      <w:proofErr w:type="spellStart"/>
      <w:r w:rsidRPr="00F07518">
        <w:rPr>
          <w:rFonts w:eastAsia="Times New Roman" w:cstheme="minorHAnsi"/>
          <w:color w:val="000000"/>
        </w:rPr>
        <w:t>i</w:t>
      </w:r>
      <w:proofErr w:type="spellEnd"/>
      <w:r w:rsidRPr="00F07518">
        <w:rPr>
          <w:rFonts w:eastAsia="Times New Roman" w:cstheme="minorHAnsi"/>
          <w:color w:val="000000"/>
        </w:rPr>
        <w:t>) a description of the self-assessment team (SAT), including members’ roles (both within the department and as part of the team) and how and why the team were selected; for example, any consideration of gender balance, members’ expertise or experience with gender and/or equality issues, work–life balance arrangements or caring responsibilities. </w:t>
      </w:r>
    </w:p>
    <w:p w14:paraId="6B1941BE" w14:textId="77777777" w:rsidR="00F07518" w:rsidRPr="00F07518" w:rsidRDefault="00F07518" w:rsidP="00F07518">
      <w:pPr>
        <w:spacing w:before="100" w:beforeAutospacing="1" w:after="100" w:afterAutospacing="1" w:line="240" w:lineRule="auto"/>
        <w:rPr>
          <w:rFonts w:eastAsia="Times New Roman" w:cstheme="minorHAnsi"/>
          <w:color w:val="000000"/>
        </w:rPr>
      </w:pPr>
      <w:r w:rsidRPr="00F07518">
        <w:rPr>
          <w:rFonts w:eastAsia="Times New Roman" w:cstheme="minorHAnsi"/>
          <w:color w:val="000000"/>
        </w:rPr>
        <w:t>(ii) an account of the self-assessment process, with details of: </w:t>
      </w:r>
    </w:p>
    <w:p w14:paraId="42FC006C" w14:textId="77777777" w:rsidR="00F07518" w:rsidRPr="00F07518" w:rsidRDefault="00F07518" w:rsidP="00F07518">
      <w:pPr>
        <w:spacing w:before="100" w:beforeAutospacing="1" w:after="100" w:afterAutospacing="1" w:line="240" w:lineRule="auto"/>
        <w:rPr>
          <w:rFonts w:eastAsia="Times New Roman" w:cstheme="minorHAnsi"/>
          <w:color w:val="000000"/>
        </w:rPr>
      </w:pPr>
      <w:r w:rsidRPr="00F07518">
        <w:rPr>
          <w:rFonts w:eastAsia="Times New Roman" w:cstheme="minorHAnsi"/>
          <w:color w:val="000000"/>
        </w:rPr>
        <w:t>● when the team was established; </w:t>
      </w:r>
    </w:p>
    <w:p w14:paraId="58A90660" w14:textId="77777777" w:rsidR="00F07518" w:rsidRPr="00F07518" w:rsidRDefault="00F07518" w:rsidP="00F07518">
      <w:pPr>
        <w:spacing w:before="100" w:beforeAutospacing="1" w:after="100" w:afterAutospacing="1" w:line="240" w:lineRule="auto"/>
        <w:rPr>
          <w:rFonts w:eastAsia="Times New Roman" w:cstheme="minorHAnsi"/>
          <w:color w:val="000000"/>
        </w:rPr>
      </w:pPr>
      <w:r w:rsidRPr="00F07518">
        <w:rPr>
          <w:rFonts w:eastAsia="Times New Roman" w:cstheme="minorHAnsi"/>
          <w:color w:val="000000"/>
        </w:rPr>
        <w:t>● how often the team has met; </w:t>
      </w:r>
    </w:p>
    <w:p w14:paraId="6766743A" w14:textId="77777777" w:rsidR="00F07518" w:rsidRPr="00F07518" w:rsidRDefault="00F07518" w:rsidP="00F07518">
      <w:pPr>
        <w:spacing w:before="100" w:beforeAutospacing="1" w:after="100" w:afterAutospacing="1" w:line="240" w:lineRule="auto"/>
        <w:rPr>
          <w:rFonts w:eastAsia="Times New Roman" w:cstheme="minorHAnsi"/>
          <w:color w:val="000000"/>
        </w:rPr>
      </w:pPr>
      <w:r w:rsidRPr="00F07518">
        <w:rPr>
          <w:rFonts w:eastAsia="Times New Roman" w:cstheme="minorHAnsi"/>
          <w:color w:val="000000"/>
        </w:rPr>
        <w:t>● what the focus of the meetings has been; </w:t>
      </w:r>
    </w:p>
    <w:p w14:paraId="6085CFBA" w14:textId="77777777" w:rsidR="00F07518" w:rsidRPr="00F07518" w:rsidRDefault="00F07518" w:rsidP="00F07518">
      <w:pPr>
        <w:spacing w:before="100" w:beforeAutospacing="1" w:after="100" w:afterAutospacing="1" w:line="240" w:lineRule="auto"/>
        <w:rPr>
          <w:rFonts w:eastAsia="Times New Roman" w:cstheme="minorHAnsi"/>
          <w:color w:val="000000"/>
        </w:rPr>
      </w:pPr>
      <w:r w:rsidRPr="00F07518">
        <w:rPr>
          <w:rFonts w:eastAsia="Times New Roman" w:cstheme="minorHAnsi"/>
          <w:color w:val="000000"/>
        </w:rPr>
        <w:t>● how the team has consulted with members of the department and students; </w:t>
      </w:r>
    </w:p>
    <w:p w14:paraId="087EF9AD" w14:textId="77777777" w:rsidR="00F07518" w:rsidRPr="00F07518" w:rsidRDefault="00F07518" w:rsidP="00F07518">
      <w:pPr>
        <w:spacing w:before="100" w:beforeAutospacing="1" w:after="100" w:afterAutospacing="1" w:line="240" w:lineRule="auto"/>
        <w:rPr>
          <w:rFonts w:eastAsia="Times New Roman" w:cstheme="minorHAnsi"/>
          <w:color w:val="000000"/>
        </w:rPr>
      </w:pPr>
      <w:r w:rsidRPr="00F07518">
        <w:rPr>
          <w:rFonts w:eastAsia="Times New Roman" w:cstheme="minorHAnsi"/>
          <w:color w:val="000000"/>
        </w:rPr>
        <w:lastRenderedPageBreak/>
        <w:t>● what consultation (if any) has occurred with staff or individuals outside of the university/department; </w:t>
      </w:r>
    </w:p>
    <w:p w14:paraId="0A3D12EE" w14:textId="77777777" w:rsidR="00F07518" w:rsidRPr="00F07518" w:rsidRDefault="00F07518" w:rsidP="00F07518">
      <w:pPr>
        <w:spacing w:before="100" w:beforeAutospacing="1" w:after="100" w:afterAutospacing="1" w:line="240" w:lineRule="auto"/>
        <w:rPr>
          <w:rFonts w:eastAsia="Times New Roman" w:cstheme="minorHAnsi"/>
          <w:color w:val="000000"/>
        </w:rPr>
      </w:pPr>
      <w:r w:rsidRPr="00F07518">
        <w:rPr>
          <w:rFonts w:eastAsia="Times New Roman" w:cstheme="minorHAnsi"/>
          <w:color w:val="000000"/>
        </w:rPr>
        <w:t>● what the internal and external reporting mechanisms of the team are. </w:t>
      </w:r>
    </w:p>
    <w:p w14:paraId="640BE6F6" w14:textId="77777777" w:rsidR="00F07518" w:rsidRPr="00F07518" w:rsidRDefault="00F07518" w:rsidP="00F07518">
      <w:pPr>
        <w:spacing w:before="100" w:beforeAutospacing="1" w:after="100" w:afterAutospacing="1" w:line="240" w:lineRule="auto"/>
        <w:rPr>
          <w:rFonts w:eastAsia="Times New Roman" w:cstheme="minorHAnsi"/>
          <w:color w:val="000000"/>
        </w:rPr>
      </w:pPr>
      <w:r w:rsidRPr="00F07518">
        <w:rPr>
          <w:rFonts w:eastAsia="Times New Roman" w:cstheme="minorHAnsi"/>
          <w:color w:val="000000"/>
        </w:rPr>
        <w:t>(iii) plans for the future of the SAT, including: </w:t>
      </w:r>
    </w:p>
    <w:p w14:paraId="37A8558B" w14:textId="77777777" w:rsidR="00F07518" w:rsidRPr="00F07518" w:rsidRDefault="00F07518" w:rsidP="00F07518">
      <w:pPr>
        <w:spacing w:before="100" w:beforeAutospacing="1" w:after="100" w:afterAutospacing="1" w:line="240" w:lineRule="auto"/>
        <w:rPr>
          <w:rFonts w:eastAsia="Times New Roman" w:cstheme="minorHAnsi"/>
          <w:color w:val="000000"/>
        </w:rPr>
      </w:pPr>
      <w:r w:rsidRPr="00F07518">
        <w:rPr>
          <w:rFonts w:eastAsia="Times New Roman" w:cstheme="minorHAnsi"/>
          <w:color w:val="000000"/>
        </w:rPr>
        <w:t>● how often the team will continue to meet; </w:t>
      </w:r>
    </w:p>
    <w:p w14:paraId="4FE677BB" w14:textId="77777777" w:rsidR="00F07518" w:rsidRPr="00F07518" w:rsidRDefault="00F07518" w:rsidP="00F07518">
      <w:pPr>
        <w:spacing w:before="100" w:beforeAutospacing="1" w:after="100" w:afterAutospacing="1" w:line="240" w:lineRule="auto"/>
        <w:rPr>
          <w:rFonts w:eastAsia="Times New Roman" w:cstheme="minorHAnsi"/>
          <w:color w:val="000000"/>
        </w:rPr>
      </w:pPr>
      <w:r w:rsidRPr="00F07518">
        <w:rPr>
          <w:rFonts w:eastAsia="Times New Roman" w:cstheme="minorHAnsi"/>
          <w:color w:val="000000"/>
        </w:rPr>
        <w:t>● how the SAT intends to monitor implementation of the action plan; </w:t>
      </w:r>
    </w:p>
    <w:p w14:paraId="578C30A7" w14:textId="77777777" w:rsidR="00F07518" w:rsidRPr="00F07518" w:rsidRDefault="00F07518" w:rsidP="00F07518">
      <w:pPr>
        <w:spacing w:before="100" w:beforeAutospacing="1" w:after="100" w:afterAutospacing="1" w:line="240" w:lineRule="auto"/>
        <w:rPr>
          <w:rFonts w:eastAsia="Times New Roman" w:cstheme="minorHAnsi"/>
          <w:color w:val="000000"/>
        </w:rPr>
      </w:pPr>
      <w:r w:rsidRPr="00F07518">
        <w:rPr>
          <w:rFonts w:eastAsia="Times New Roman" w:cstheme="minorHAnsi"/>
          <w:color w:val="000000"/>
        </w:rPr>
        <w:t>● how the SAT intends to interact with staff; </w:t>
      </w:r>
    </w:p>
    <w:p w14:paraId="383349D7" w14:textId="77777777" w:rsidR="00F07518" w:rsidRPr="00F07518" w:rsidRDefault="00F07518" w:rsidP="00F07518">
      <w:pPr>
        <w:spacing w:before="100" w:beforeAutospacing="1" w:after="100" w:afterAutospacing="1" w:line="240" w:lineRule="auto"/>
        <w:rPr>
          <w:rFonts w:eastAsia="Times New Roman" w:cstheme="minorHAnsi"/>
          <w:color w:val="000000"/>
        </w:rPr>
      </w:pPr>
      <w:r w:rsidRPr="00F07518">
        <w:rPr>
          <w:rFonts w:eastAsia="Times New Roman" w:cstheme="minorHAnsi"/>
          <w:color w:val="000000"/>
        </w:rPr>
        <w:t>● whether the membership of the group will change; </w:t>
      </w:r>
    </w:p>
    <w:p w14:paraId="22A48869" w14:textId="77777777" w:rsidR="00F07518" w:rsidRPr="00F07518" w:rsidRDefault="00F07518" w:rsidP="00F07518">
      <w:pPr>
        <w:spacing w:before="100" w:beforeAutospacing="1" w:after="100" w:afterAutospacing="1" w:line="240" w:lineRule="auto"/>
        <w:rPr>
          <w:rFonts w:eastAsia="Times New Roman" w:cstheme="minorHAnsi"/>
          <w:color w:val="000000"/>
        </w:rPr>
      </w:pPr>
      <w:r w:rsidRPr="00F07518">
        <w:rPr>
          <w:rFonts w:eastAsia="Times New Roman" w:cstheme="minorHAnsi"/>
          <w:color w:val="000000"/>
        </w:rPr>
        <w:t>● what the internal and external reporting mechanisms of the team will be. </w:t>
      </w:r>
    </w:p>
    <w:p w14:paraId="6210A721" w14:textId="77777777" w:rsidR="00F07518" w:rsidRDefault="00F07518" w:rsidP="00F07518">
      <w:pPr>
        <w:spacing w:before="100" w:beforeAutospacing="1" w:after="100" w:afterAutospacing="1" w:line="240" w:lineRule="auto"/>
        <w:rPr>
          <w:rFonts w:eastAsia="Times New Roman" w:cstheme="minorHAnsi"/>
          <w:color w:val="000000"/>
        </w:rPr>
      </w:pPr>
    </w:p>
    <w:p w14:paraId="1D11ECAD" w14:textId="1561C008" w:rsidR="00F07518" w:rsidRPr="00F07518" w:rsidRDefault="00F07518" w:rsidP="00F07518">
      <w:pPr>
        <w:spacing w:before="100" w:beforeAutospacing="1" w:after="100" w:afterAutospacing="1" w:line="240" w:lineRule="auto"/>
        <w:rPr>
          <w:rFonts w:eastAsia="Times New Roman" w:cstheme="minorHAnsi"/>
          <w:b/>
          <w:color w:val="000000"/>
        </w:rPr>
      </w:pPr>
      <w:r w:rsidRPr="00F07518">
        <w:rPr>
          <w:rFonts w:eastAsia="Times New Roman" w:cstheme="minorHAnsi"/>
          <w:b/>
          <w:color w:val="000000"/>
        </w:rPr>
        <w:t>3. A picture of the department and its composition: recommended 2000 words </w:t>
      </w:r>
    </w:p>
    <w:p w14:paraId="53B17C18" w14:textId="5265FC8B" w:rsidR="00F07518" w:rsidRPr="00F07518" w:rsidRDefault="00F07518" w:rsidP="00F07518">
      <w:pPr>
        <w:spacing w:before="100" w:beforeAutospacing="1" w:after="100" w:afterAutospacing="1" w:line="240" w:lineRule="auto"/>
        <w:rPr>
          <w:rFonts w:eastAsia="Times New Roman" w:cstheme="minorHAnsi"/>
          <w:color w:val="000000"/>
        </w:rPr>
      </w:pPr>
      <w:r w:rsidRPr="00F07518">
        <w:rPr>
          <w:rFonts w:eastAsia="Times New Roman" w:cstheme="minorHAnsi"/>
          <w:color w:val="000000"/>
        </w:rPr>
        <w:t>3.1 Brief description of the department </w:t>
      </w:r>
      <w:r w:rsidRPr="00F07518">
        <w:rPr>
          <w:rFonts w:eastAsia="Times New Roman" w:cstheme="minorHAnsi"/>
          <w:color w:val="000000"/>
          <w:highlight w:val="yellow"/>
        </w:rPr>
        <w:t>MEGL</w:t>
      </w:r>
    </w:p>
    <w:p w14:paraId="5AF276FD" w14:textId="77777777" w:rsidR="00F07518" w:rsidRPr="00F07518" w:rsidRDefault="00F07518" w:rsidP="00F07518">
      <w:pPr>
        <w:spacing w:before="100" w:beforeAutospacing="1" w:after="100" w:afterAutospacing="1" w:line="240" w:lineRule="auto"/>
        <w:rPr>
          <w:rFonts w:eastAsia="Times New Roman" w:cstheme="minorHAnsi"/>
          <w:color w:val="000000"/>
        </w:rPr>
      </w:pPr>
      <w:r w:rsidRPr="00F07518">
        <w:rPr>
          <w:rFonts w:eastAsia="Times New Roman" w:cstheme="minorHAnsi"/>
          <w:color w:val="000000"/>
        </w:rPr>
        <w:t>To set the context for the application, please provide a brief description of the department, including its size, and outline any significant and relevant features. For example, recent changes of departmental structure or management, the existence of any quasi-autonomous groups or the management of split-site arrangements. </w:t>
      </w:r>
    </w:p>
    <w:p w14:paraId="22CBB2AF" w14:textId="77777777" w:rsidR="00F07518" w:rsidRPr="00F07518" w:rsidRDefault="00F07518" w:rsidP="00F07518">
      <w:pPr>
        <w:spacing w:before="100" w:beforeAutospacing="1" w:after="100" w:afterAutospacing="1" w:line="240" w:lineRule="auto"/>
        <w:rPr>
          <w:rFonts w:eastAsia="Times New Roman" w:cstheme="minorHAnsi"/>
          <w:color w:val="000000"/>
        </w:rPr>
      </w:pPr>
      <w:r w:rsidRPr="00F07518">
        <w:rPr>
          <w:rFonts w:eastAsia="Times New Roman" w:cstheme="minorHAnsi"/>
          <w:color w:val="000000"/>
        </w:rPr>
        <w:t>Where possible, for each of the following sections (3.2 and 3.3): </w:t>
      </w:r>
    </w:p>
    <w:p w14:paraId="7B92B731" w14:textId="77777777" w:rsidR="00F07518" w:rsidRPr="00F07518" w:rsidRDefault="00F07518" w:rsidP="00F07518">
      <w:pPr>
        <w:spacing w:before="100" w:beforeAutospacing="1" w:after="100" w:afterAutospacing="1" w:line="240" w:lineRule="auto"/>
        <w:rPr>
          <w:rFonts w:eastAsia="Times New Roman" w:cstheme="minorHAnsi"/>
          <w:color w:val="000000"/>
        </w:rPr>
      </w:pPr>
      <w:r w:rsidRPr="00F07518">
        <w:rPr>
          <w:rFonts w:eastAsia="Times New Roman" w:cstheme="minorHAnsi"/>
          <w:color w:val="000000"/>
        </w:rPr>
        <w:t>● Provide data/statistics (numbers and percentages) for at least the past three years, with commentary on their significance. Where possible and relevant, use clearly-labelled graphical illustrations. </w:t>
      </w:r>
    </w:p>
    <w:p w14:paraId="468AC7EA" w14:textId="77777777" w:rsidR="00F07518" w:rsidRPr="00F07518" w:rsidRDefault="00F07518" w:rsidP="00F07518">
      <w:pPr>
        <w:spacing w:before="100" w:beforeAutospacing="1" w:after="100" w:afterAutospacing="1" w:line="240" w:lineRule="auto"/>
        <w:rPr>
          <w:rFonts w:eastAsia="Times New Roman" w:cstheme="minorHAnsi"/>
          <w:color w:val="000000"/>
        </w:rPr>
      </w:pPr>
      <w:r w:rsidRPr="00F07518">
        <w:rPr>
          <w:rFonts w:eastAsia="Times New Roman" w:cstheme="minorHAnsi"/>
          <w:color w:val="000000"/>
        </w:rPr>
        <w:t>● Comment and reflect on the proportions/percentages of women and men compared with the national picture for the discipline(s). If benchmarking data is unavailable, or if it is felt that it may not be appropriate, a clear explanation must be provided. </w:t>
      </w:r>
    </w:p>
    <w:p w14:paraId="55243240" w14:textId="77777777" w:rsidR="00F07518" w:rsidRPr="00F07518" w:rsidRDefault="00F07518" w:rsidP="00F07518">
      <w:pPr>
        <w:spacing w:before="100" w:beforeAutospacing="1" w:after="100" w:afterAutospacing="1" w:line="240" w:lineRule="auto"/>
        <w:rPr>
          <w:rFonts w:eastAsia="Times New Roman" w:cstheme="minorHAnsi"/>
          <w:color w:val="000000"/>
        </w:rPr>
      </w:pPr>
      <w:r w:rsidRPr="00F07518">
        <w:rPr>
          <w:rFonts w:eastAsia="Times New Roman" w:cstheme="minorHAnsi"/>
          <w:color w:val="000000"/>
        </w:rPr>
        <w:t>● Comment and reflect on any differences in data for men and women. </w:t>
      </w:r>
    </w:p>
    <w:p w14:paraId="68A89DB6" w14:textId="77777777" w:rsidR="00F07518" w:rsidRPr="00F07518" w:rsidRDefault="00F07518" w:rsidP="00F07518">
      <w:pPr>
        <w:spacing w:before="100" w:beforeAutospacing="1" w:after="100" w:afterAutospacing="1" w:line="240" w:lineRule="auto"/>
        <w:rPr>
          <w:rFonts w:eastAsia="Times New Roman" w:cstheme="minorHAnsi"/>
          <w:color w:val="000000"/>
        </w:rPr>
      </w:pPr>
      <w:r w:rsidRPr="00F07518">
        <w:rPr>
          <w:rFonts w:eastAsia="Times New Roman" w:cstheme="minorHAnsi"/>
          <w:color w:val="000000"/>
        </w:rPr>
        <w:t>● Comment and reflect on any differences in data for full- and part-time. </w:t>
      </w:r>
    </w:p>
    <w:p w14:paraId="27B72E81" w14:textId="77777777" w:rsidR="00F07518" w:rsidRPr="00F07518" w:rsidRDefault="00F07518" w:rsidP="00F07518">
      <w:pPr>
        <w:spacing w:before="100" w:beforeAutospacing="1" w:after="100" w:afterAutospacing="1" w:line="240" w:lineRule="auto"/>
        <w:rPr>
          <w:rFonts w:eastAsia="Times New Roman" w:cstheme="minorHAnsi"/>
          <w:color w:val="000000"/>
        </w:rPr>
      </w:pPr>
      <w:r w:rsidRPr="00F07518">
        <w:rPr>
          <w:rFonts w:eastAsia="Times New Roman" w:cstheme="minorHAnsi"/>
          <w:color w:val="000000"/>
        </w:rPr>
        <w:t>● Describe any initiatives implemented to address any possible imbalance and biases, and any impact to date. </w:t>
      </w:r>
    </w:p>
    <w:p w14:paraId="397FC71B" w14:textId="77777777" w:rsidR="00F07518" w:rsidRPr="00F07518" w:rsidRDefault="00F07518" w:rsidP="00F07518">
      <w:pPr>
        <w:spacing w:before="100" w:beforeAutospacing="1" w:after="100" w:afterAutospacing="1" w:line="240" w:lineRule="auto"/>
        <w:rPr>
          <w:rFonts w:eastAsia="Times New Roman" w:cstheme="minorHAnsi"/>
          <w:color w:val="000000"/>
        </w:rPr>
      </w:pPr>
      <w:r w:rsidRPr="00F07518">
        <w:rPr>
          <w:rFonts w:eastAsia="Times New Roman" w:cstheme="minorHAnsi"/>
          <w:color w:val="000000"/>
        </w:rPr>
        <w:t>● Comment upon any plans for the future, including how any gaps in the data will be addressed, and refer to specific, numbered actions that appear in the Action Plan. </w:t>
      </w:r>
    </w:p>
    <w:p w14:paraId="76063225" w14:textId="77777777" w:rsidR="00F07518" w:rsidRPr="00F07518" w:rsidRDefault="00F07518" w:rsidP="00F07518">
      <w:pPr>
        <w:spacing w:before="100" w:beforeAutospacing="1" w:after="100" w:afterAutospacing="1" w:line="240" w:lineRule="auto"/>
        <w:rPr>
          <w:rFonts w:eastAsia="Times New Roman" w:cstheme="minorHAnsi"/>
          <w:color w:val="000000"/>
        </w:rPr>
      </w:pPr>
      <w:r w:rsidRPr="00F07518">
        <w:rPr>
          <w:rFonts w:eastAsia="Times New Roman" w:cstheme="minorHAnsi"/>
          <w:color w:val="000000"/>
        </w:rPr>
        <w:t>Note: Data relating to any clinical and non-clinical staff should be disaggregated and presented separately.</w:t>
      </w:r>
    </w:p>
    <w:p w14:paraId="21F67ECB" w14:textId="77777777" w:rsidR="00F07518" w:rsidRPr="00F07518" w:rsidRDefault="00F07518" w:rsidP="00F07518">
      <w:pPr>
        <w:pStyle w:val="Normal1"/>
        <w:rPr>
          <w:rFonts w:asciiTheme="minorHAnsi" w:hAnsiTheme="minorHAnsi" w:cstheme="minorHAnsi"/>
          <w:sz w:val="22"/>
          <w:szCs w:val="22"/>
        </w:rPr>
      </w:pPr>
    </w:p>
    <w:p w14:paraId="0C98018D" w14:textId="77777777" w:rsidR="006770B5" w:rsidRPr="00F07518" w:rsidRDefault="006770B5" w:rsidP="006770B5">
      <w:pPr>
        <w:pStyle w:val="Normal1"/>
        <w:spacing w:before="0" w:after="240"/>
        <w:ind w:left="709" w:hanging="709"/>
        <w:rPr>
          <w:rFonts w:asciiTheme="minorHAnsi" w:hAnsiTheme="minorHAnsi" w:cstheme="minorHAnsi"/>
          <w:sz w:val="22"/>
          <w:szCs w:val="22"/>
        </w:rPr>
      </w:pPr>
    </w:p>
    <w:p w14:paraId="3E803E96" w14:textId="5FFEDB8F" w:rsidR="006770B5" w:rsidRPr="005672E8" w:rsidRDefault="00C45E15" w:rsidP="006770B5">
      <w:pPr>
        <w:pStyle w:val="Normal1"/>
        <w:contextualSpacing/>
        <w:rPr>
          <w:b/>
          <w:sz w:val="22"/>
          <w:szCs w:val="22"/>
        </w:rPr>
      </w:pPr>
      <w:r>
        <w:rPr>
          <w:b/>
          <w:sz w:val="22"/>
          <w:szCs w:val="22"/>
        </w:rPr>
        <w:t xml:space="preserve">3.2 </w:t>
      </w:r>
      <w:r w:rsidR="00EE1C8A">
        <w:rPr>
          <w:b/>
          <w:sz w:val="22"/>
          <w:szCs w:val="22"/>
        </w:rPr>
        <w:t xml:space="preserve">Student data: </w:t>
      </w:r>
      <w:r w:rsidR="00EE1C8A" w:rsidRPr="00EE1C8A">
        <w:rPr>
          <w:b/>
          <w:sz w:val="22"/>
          <w:szCs w:val="22"/>
          <w:highlight w:val="yellow"/>
        </w:rPr>
        <w:t>GWW/NS</w:t>
      </w:r>
    </w:p>
    <w:p w14:paraId="58EDDB74" w14:textId="77777777" w:rsidR="006770B5" w:rsidRPr="005672E8" w:rsidRDefault="006770B5" w:rsidP="006770B5">
      <w:pPr>
        <w:pStyle w:val="Normal1"/>
        <w:rPr>
          <w:sz w:val="22"/>
          <w:szCs w:val="22"/>
        </w:rPr>
      </w:pPr>
      <w:r w:rsidRPr="005672E8">
        <w:rPr>
          <w:sz w:val="22"/>
          <w:szCs w:val="22"/>
        </w:rPr>
        <w:t>If courses in the categories below do not exist, please enter N/A.</w:t>
      </w:r>
    </w:p>
    <w:p w14:paraId="3808DE9D" w14:textId="77777777" w:rsidR="006770B5" w:rsidRPr="005672E8" w:rsidRDefault="006770B5" w:rsidP="006770B5">
      <w:pPr>
        <w:pStyle w:val="Normal1"/>
        <w:numPr>
          <w:ilvl w:val="0"/>
          <w:numId w:val="5"/>
        </w:numPr>
        <w:ind w:hanging="720"/>
        <w:rPr>
          <w:sz w:val="22"/>
          <w:szCs w:val="22"/>
        </w:rPr>
      </w:pPr>
      <w:r w:rsidRPr="005672E8">
        <w:rPr>
          <w:b/>
          <w:sz w:val="22"/>
          <w:szCs w:val="22"/>
        </w:rPr>
        <w:t>Numbers of men and women on access or foundation courses</w:t>
      </w:r>
      <w:r w:rsidRPr="005672E8">
        <w:rPr>
          <w:sz w:val="22"/>
          <w:szCs w:val="22"/>
        </w:rPr>
        <w:t>.</w:t>
      </w:r>
    </w:p>
    <w:p w14:paraId="4750EEF9" w14:textId="77777777" w:rsidR="006770B5" w:rsidRPr="005672E8" w:rsidRDefault="006770B5" w:rsidP="006770B5">
      <w:pPr>
        <w:pStyle w:val="Normal1"/>
        <w:numPr>
          <w:ilvl w:val="0"/>
          <w:numId w:val="5"/>
        </w:numPr>
        <w:ind w:hanging="720"/>
        <w:rPr>
          <w:sz w:val="22"/>
          <w:szCs w:val="22"/>
        </w:rPr>
      </w:pPr>
      <w:r w:rsidRPr="005672E8">
        <w:rPr>
          <w:b/>
          <w:sz w:val="22"/>
          <w:szCs w:val="22"/>
        </w:rPr>
        <w:t>Numbers</w:t>
      </w:r>
      <w:r w:rsidRPr="005672E8">
        <w:rPr>
          <w:sz w:val="22"/>
          <w:szCs w:val="22"/>
        </w:rPr>
        <w:t xml:space="preserve"> </w:t>
      </w:r>
      <w:r w:rsidRPr="005672E8">
        <w:rPr>
          <w:b/>
          <w:sz w:val="22"/>
          <w:szCs w:val="22"/>
        </w:rPr>
        <w:t xml:space="preserve">of men and women undergraduate students </w:t>
      </w:r>
      <w:r w:rsidRPr="005672E8">
        <w:rPr>
          <w:sz w:val="22"/>
          <w:szCs w:val="22"/>
        </w:rPr>
        <w:t>– full- and part-time. Provide data on degree attainment and completion rate by gender.</w:t>
      </w:r>
    </w:p>
    <w:p w14:paraId="06EC9A4E" w14:textId="77777777" w:rsidR="006770B5" w:rsidRPr="00EE1C8A" w:rsidRDefault="006770B5" w:rsidP="006770B5">
      <w:pPr>
        <w:pStyle w:val="Normal1"/>
        <w:numPr>
          <w:ilvl w:val="0"/>
          <w:numId w:val="5"/>
        </w:numPr>
        <w:ind w:hanging="720"/>
        <w:rPr>
          <w:color w:val="FF0000"/>
          <w:sz w:val="22"/>
          <w:szCs w:val="22"/>
          <w:highlight w:val="yellow"/>
        </w:rPr>
      </w:pPr>
      <w:r w:rsidRPr="00EE1C8A">
        <w:rPr>
          <w:b/>
          <w:color w:val="FF0000"/>
          <w:sz w:val="22"/>
          <w:szCs w:val="22"/>
        </w:rPr>
        <w:t>Numbers of men and women on postgraduate taught degrees</w:t>
      </w:r>
      <w:r w:rsidRPr="00EE1C8A">
        <w:rPr>
          <w:color w:val="FF0000"/>
          <w:sz w:val="22"/>
          <w:szCs w:val="22"/>
        </w:rPr>
        <w:t xml:space="preserve"> – full- and part-time. Also provide data on degree attainment and completion rate by gender.</w:t>
      </w:r>
      <w:r w:rsidR="00EE1C8A">
        <w:rPr>
          <w:color w:val="FF0000"/>
          <w:sz w:val="22"/>
          <w:szCs w:val="22"/>
        </w:rPr>
        <w:t xml:space="preserve"> </w:t>
      </w:r>
      <w:r w:rsidR="00EE1C8A" w:rsidRPr="00EE1C8A">
        <w:rPr>
          <w:color w:val="FF0000"/>
          <w:sz w:val="22"/>
          <w:szCs w:val="22"/>
          <w:highlight w:val="yellow"/>
        </w:rPr>
        <w:t>IR</w:t>
      </w:r>
    </w:p>
    <w:p w14:paraId="3DE85FA1" w14:textId="1FBE34C3" w:rsidR="006770B5" w:rsidRPr="00EE1C8A" w:rsidRDefault="006770B5" w:rsidP="006770B5">
      <w:pPr>
        <w:pStyle w:val="Normal1"/>
        <w:numPr>
          <w:ilvl w:val="0"/>
          <w:numId w:val="5"/>
        </w:numPr>
        <w:ind w:hanging="720"/>
        <w:rPr>
          <w:color w:val="FF0000"/>
          <w:sz w:val="22"/>
          <w:szCs w:val="22"/>
          <w:highlight w:val="yellow"/>
        </w:rPr>
      </w:pPr>
      <w:r w:rsidRPr="00EE1C8A">
        <w:rPr>
          <w:b/>
          <w:color w:val="FF0000"/>
          <w:sz w:val="22"/>
          <w:szCs w:val="22"/>
        </w:rPr>
        <w:t>Numbers of men and women on postgraduate research degrees</w:t>
      </w:r>
      <w:r w:rsidRPr="00EE1C8A">
        <w:rPr>
          <w:color w:val="FF0000"/>
          <w:sz w:val="22"/>
          <w:szCs w:val="22"/>
        </w:rPr>
        <w:t xml:space="preserve"> – full- and part-time. Also provide data on completion rate by gender.</w:t>
      </w:r>
      <w:r w:rsidR="00EE1C8A">
        <w:rPr>
          <w:color w:val="FF0000"/>
          <w:sz w:val="22"/>
          <w:szCs w:val="22"/>
        </w:rPr>
        <w:t xml:space="preserve"> </w:t>
      </w:r>
      <w:r w:rsidR="00EE1C8A" w:rsidRPr="00EE1C8A">
        <w:rPr>
          <w:color w:val="FF0000"/>
          <w:sz w:val="22"/>
          <w:szCs w:val="22"/>
          <w:highlight w:val="yellow"/>
        </w:rPr>
        <w:t>IR</w:t>
      </w:r>
      <w:r w:rsidR="00AB344F">
        <w:rPr>
          <w:color w:val="FF0000"/>
          <w:sz w:val="22"/>
          <w:szCs w:val="22"/>
          <w:highlight w:val="yellow"/>
        </w:rPr>
        <w:t>/</w:t>
      </w:r>
      <w:proofErr w:type="spellStart"/>
      <w:r w:rsidR="00AB344F">
        <w:rPr>
          <w:color w:val="FF0000"/>
          <w:sz w:val="22"/>
          <w:szCs w:val="22"/>
          <w:highlight w:val="yellow"/>
        </w:rPr>
        <w:t>DMcD</w:t>
      </w:r>
      <w:proofErr w:type="spellEnd"/>
    </w:p>
    <w:p w14:paraId="16A96D4C" w14:textId="77777777" w:rsidR="006770B5" w:rsidRPr="005672E8" w:rsidRDefault="006770B5" w:rsidP="006770B5">
      <w:pPr>
        <w:pStyle w:val="Normal1"/>
        <w:numPr>
          <w:ilvl w:val="0"/>
          <w:numId w:val="5"/>
        </w:numPr>
        <w:ind w:hanging="720"/>
        <w:rPr>
          <w:sz w:val="22"/>
          <w:szCs w:val="22"/>
        </w:rPr>
      </w:pPr>
      <w:r w:rsidRPr="005672E8">
        <w:rPr>
          <w:b/>
          <w:sz w:val="22"/>
          <w:szCs w:val="22"/>
        </w:rPr>
        <w:t xml:space="preserve">Intake of undergraduates by gender </w:t>
      </w:r>
      <w:r w:rsidRPr="005672E8">
        <w:rPr>
          <w:sz w:val="22"/>
          <w:szCs w:val="22"/>
        </w:rPr>
        <w:t>– full- and part-time. Comment on any gender differences and how the department supports underrepresented students.</w:t>
      </w:r>
    </w:p>
    <w:p w14:paraId="7CD2ACDC" w14:textId="630F530A" w:rsidR="006770B5" w:rsidRPr="00AB344F" w:rsidRDefault="006770B5" w:rsidP="006770B5">
      <w:pPr>
        <w:pStyle w:val="Normal1"/>
        <w:numPr>
          <w:ilvl w:val="0"/>
          <w:numId w:val="5"/>
        </w:numPr>
        <w:ind w:hanging="720"/>
        <w:rPr>
          <w:color w:val="FF0000"/>
          <w:sz w:val="22"/>
          <w:szCs w:val="22"/>
          <w:highlight w:val="yellow"/>
        </w:rPr>
      </w:pPr>
      <w:r w:rsidRPr="00AB344F">
        <w:rPr>
          <w:b/>
          <w:color w:val="FF0000"/>
          <w:sz w:val="22"/>
          <w:szCs w:val="22"/>
        </w:rPr>
        <w:t>Ratio of course applications, offers and acceptances by gender for postgraduate taught and postgraduate research degrees</w:t>
      </w:r>
      <w:r w:rsidRPr="00AB344F">
        <w:rPr>
          <w:color w:val="FF0000"/>
          <w:sz w:val="22"/>
          <w:szCs w:val="22"/>
        </w:rPr>
        <w:t xml:space="preserve"> – comment on any differences between application and success rates.</w:t>
      </w:r>
      <w:r w:rsidR="00AB344F">
        <w:rPr>
          <w:color w:val="FF0000"/>
          <w:sz w:val="22"/>
          <w:szCs w:val="22"/>
        </w:rPr>
        <w:t xml:space="preserve"> </w:t>
      </w:r>
      <w:r w:rsidR="00AB344F" w:rsidRPr="00AB344F">
        <w:rPr>
          <w:color w:val="FF0000"/>
          <w:sz w:val="22"/>
          <w:szCs w:val="22"/>
          <w:highlight w:val="yellow"/>
        </w:rPr>
        <w:t>IR</w:t>
      </w:r>
      <w:r w:rsidR="00AB344F">
        <w:rPr>
          <w:color w:val="FF0000"/>
          <w:sz w:val="22"/>
          <w:szCs w:val="22"/>
          <w:highlight w:val="yellow"/>
        </w:rPr>
        <w:t>/</w:t>
      </w:r>
      <w:proofErr w:type="spellStart"/>
      <w:r w:rsidR="00AB344F">
        <w:rPr>
          <w:color w:val="FF0000"/>
          <w:sz w:val="22"/>
          <w:szCs w:val="22"/>
          <w:highlight w:val="yellow"/>
        </w:rPr>
        <w:t>DMcD</w:t>
      </w:r>
      <w:proofErr w:type="spellEnd"/>
    </w:p>
    <w:p w14:paraId="393E733A" w14:textId="77777777" w:rsidR="00C477A0" w:rsidRPr="005672E8" w:rsidRDefault="00C477A0" w:rsidP="00C477A0">
      <w:pPr>
        <w:pStyle w:val="Normal1"/>
        <w:ind w:left="720"/>
        <w:rPr>
          <w:sz w:val="22"/>
          <w:szCs w:val="22"/>
        </w:rPr>
      </w:pPr>
    </w:p>
    <w:p w14:paraId="2BD742ED" w14:textId="0AA01A6B" w:rsidR="006770B5" w:rsidRPr="00EE1C8A" w:rsidRDefault="006770B5" w:rsidP="00C45E15">
      <w:pPr>
        <w:pStyle w:val="Normal1"/>
        <w:numPr>
          <w:ilvl w:val="1"/>
          <w:numId w:val="26"/>
        </w:numPr>
        <w:contextualSpacing/>
        <w:rPr>
          <w:b/>
          <w:sz w:val="22"/>
          <w:szCs w:val="22"/>
          <w:highlight w:val="yellow"/>
        </w:rPr>
      </w:pPr>
      <w:r w:rsidRPr="005672E8">
        <w:rPr>
          <w:b/>
          <w:sz w:val="22"/>
          <w:szCs w:val="22"/>
        </w:rPr>
        <w:t>Staff data</w:t>
      </w:r>
    </w:p>
    <w:p w14:paraId="7C2F432E" w14:textId="77777777" w:rsidR="00514C90" w:rsidRPr="00EE1C8A" w:rsidRDefault="006770B5" w:rsidP="00514C90">
      <w:pPr>
        <w:pStyle w:val="Normal1"/>
        <w:numPr>
          <w:ilvl w:val="0"/>
          <w:numId w:val="4"/>
        </w:numPr>
        <w:ind w:left="720" w:hanging="720"/>
        <w:rPr>
          <w:sz w:val="22"/>
          <w:szCs w:val="22"/>
          <w:highlight w:val="yellow"/>
        </w:rPr>
      </w:pPr>
      <w:r w:rsidRPr="005672E8">
        <w:rPr>
          <w:b/>
          <w:sz w:val="22"/>
          <w:szCs w:val="22"/>
        </w:rPr>
        <w:t>Proportion of all categories of academic staff by gender</w:t>
      </w:r>
      <w:r w:rsidRPr="005672E8">
        <w:rPr>
          <w:sz w:val="22"/>
          <w:szCs w:val="22"/>
        </w:rPr>
        <w:t xml:space="preserve"> – Look at the career pipeline and comment on and explain any differences between men and women. Where relevant, comment on the transition of technical staff to academic roles. Identify any issues in the pipeline at particular grades/levels.</w:t>
      </w:r>
      <w:r w:rsidR="00EE1C8A">
        <w:rPr>
          <w:sz w:val="22"/>
          <w:szCs w:val="22"/>
        </w:rPr>
        <w:t xml:space="preserve"> </w:t>
      </w:r>
      <w:r w:rsidR="00EE1C8A" w:rsidRPr="00EE1C8A">
        <w:rPr>
          <w:sz w:val="22"/>
          <w:szCs w:val="22"/>
          <w:highlight w:val="yellow"/>
        </w:rPr>
        <w:t>MEGL</w:t>
      </w:r>
    </w:p>
    <w:p w14:paraId="3C3127AF" w14:textId="77777777" w:rsidR="006770B5" w:rsidRPr="00EE1C8A" w:rsidRDefault="006770B5" w:rsidP="00514C90">
      <w:pPr>
        <w:pStyle w:val="Normal1"/>
        <w:numPr>
          <w:ilvl w:val="0"/>
          <w:numId w:val="4"/>
        </w:numPr>
        <w:ind w:left="720" w:hanging="720"/>
        <w:rPr>
          <w:sz w:val="22"/>
          <w:szCs w:val="22"/>
          <w:highlight w:val="yellow"/>
        </w:rPr>
      </w:pPr>
      <w:r w:rsidRPr="00514C90">
        <w:rPr>
          <w:b/>
          <w:sz w:val="22"/>
          <w:szCs w:val="22"/>
        </w:rPr>
        <w:t>Leavers by grade and gender</w:t>
      </w:r>
      <w:r w:rsidRPr="00514C90">
        <w:rPr>
          <w:sz w:val="22"/>
          <w:szCs w:val="22"/>
        </w:rPr>
        <w:t xml:space="preserve"> – comment on the reasons staff leave the department.</w:t>
      </w:r>
      <w:r w:rsidR="00EE1C8A">
        <w:rPr>
          <w:sz w:val="22"/>
          <w:szCs w:val="22"/>
        </w:rPr>
        <w:t xml:space="preserve"> </w:t>
      </w:r>
      <w:r w:rsidR="00EE1C8A" w:rsidRPr="00EE1C8A">
        <w:rPr>
          <w:sz w:val="22"/>
          <w:szCs w:val="22"/>
          <w:highlight w:val="yellow"/>
        </w:rPr>
        <w:t>SMD/MEGL</w:t>
      </w:r>
    </w:p>
    <w:p w14:paraId="44CC34AC" w14:textId="77777777" w:rsidR="006770B5" w:rsidRPr="00EE1C8A" w:rsidRDefault="006770B5" w:rsidP="006770B5">
      <w:pPr>
        <w:pStyle w:val="Normal1"/>
        <w:numPr>
          <w:ilvl w:val="0"/>
          <w:numId w:val="4"/>
        </w:numPr>
        <w:ind w:left="720" w:hanging="720"/>
        <w:rPr>
          <w:sz w:val="22"/>
          <w:szCs w:val="22"/>
          <w:highlight w:val="yellow"/>
        </w:rPr>
      </w:pPr>
      <w:r w:rsidRPr="005672E8">
        <w:rPr>
          <w:b/>
          <w:sz w:val="22"/>
          <w:szCs w:val="22"/>
        </w:rPr>
        <w:t xml:space="preserve">Proportion of men and women academic and research staff on fixed-term, open-ended, zero-hour and permanent contracts </w:t>
      </w:r>
      <w:r w:rsidRPr="005672E8">
        <w:rPr>
          <w:sz w:val="22"/>
          <w:szCs w:val="22"/>
        </w:rPr>
        <w:t>– comment on what is being done to ensure continuity of employment and address any other issues. Where relevant, comment on any academic staff employed on a casual or adjunct basis.</w:t>
      </w:r>
      <w:r w:rsidR="00EE1C8A">
        <w:rPr>
          <w:sz w:val="22"/>
          <w:szCs w:val="22"/>
        </w:rPr>
        <w:t xml:space="preserve"> </w:t>
      </w:r>
      <w:r w:rsidR="00EE1C8A" w:rsidRPr="00EE1C8A">
        <w:rPr>
          <w:sz w:val="22"/>
          <w:szCs w:val="22"/>
          <w:highlight w:val="yellow"/>
        </w:rPr>
        <w:t>MEGL</w:t>
      </w:r>
    </w:p>
    <w:p w14:paraId="690D8AFD" w14:textId="77777777" w:rsidR="006770B5" w:rsidRPr="00EE1C8A" w:rsidRDefault="006770B5" w:rsidP="006770B5">
      <w:pPr>
        <w:pStyle w:val="Heading3"/>
        <w:numPr>
          <w:ilvl w:val="0"/>
          <w:numId w:val="9"/>
        </w:numPr>
        <w:ind w:left="360" w:hanging="360"/>
        <w:rPr>
          <w:sz w:val="22"/>
          <w:szCs w:val="22"/>
          <w:highlight w:val="yellow"/>
        </w:rPr>
      </w:pPr>
      <w:r w:rsidRPr="005672E8">
        <w:rPr>
          <w:sz w:val="22"/>
          <w:szCs w:val="22"/>
        </w:rPr>
        <w:t>Supporting and advancing women’s careers</w:t>
      </w:r>
      <w:r w:rsidR="00EE1C8A">
        <w:rPr>
          <w:sz w:val="22"/>
          <w:szCs w:val="22"/>
        </w:rPr>
        <w:t xml:space="preserve"> </w:t>
      </w:r>
      <w:r w:rsidR="00EE1C8A" w:rsidRPr="00EE1C8A">
        <w:rPr>
          <w:sz w:val="22"/>
          <w:szCs w:val="22"/>
          <w:highlight w:val="yellow"/>
        </w:rPr>
        <w:t>SMD/MDA</w:t>
      </w:r>
    </w:p>
    <w:p w14:paraId="479A0A50" w14:textId="77777777" w:rsidR="006770B5" w:rsidRPr="005672E8" w:rsidRDefault="006770B5" w:rsidP="006770B5">
      <w:pPr>
        <w:pStyle w:val="Normal1"/>
        <w:numPr>
          <w:ilvl w:val="1"/>
          <w:numId w:val="6"/>
        </w:numPr>
        <w:spacing w:before="0"/>
        <w:ind w:left="709" w:hanging="709"/>
        <w:contextualSpacing/>
        <w:rPr>
          <w:sz w:val="22"/>
          <w:szCs w:val="22"/>
        </w:rPr>
      </w:pPr>
      <w:r w:rsidRPr="005672E8">
        <w:rPr>
          <w:sz w:val="22"/>
          <w:szCs w:val="22"/>
        </w:rPr>
        <w:t>Reflect upon the key issues in the department, what steps have been taken and what support has been given to address any gender disparity.</w:t>
      </w:r>
    </w:p>
    <w:p w14:paraId="7B8A894F" w14:textId="77777777" w:rsidR="006770B5" w:rsidRPr="005672E8" w:rsidRDefault="006770B5" w:rsidP="006770B5">
      <w:pPr>
        <w:pStyle w:val="Normal1"/>
        <w:numPr>
          <w:ilvl w:val="1"/>
          <w:numId w:val="6"/>
        </w:numPr>
        <w:spacing w:before="0"/>
        <w:ind w:left="709" w:hanging="709"/>
        <w:contextualSpacing/>
        <w:rPr>
          <w:sz w:val="22"/>
          <w:szCs w:val="22"/>
        </w:rPr>
      </w:pPr>
      <w:r w:rsidRPr="005672E8">
        <w:rPr>
          <w:sz w:val="22"/>
          <w:szCs w:val="22"/>
        </w:rPr>
        <w:t>Describe the initiatives implemented to address any issues and any impact to date.</w:t>
      </w:r>
    </w:p>
    <w:p w14:paraId="0CC28B45" w14:textId="77777777" w:rsidR="00C477A0" w:rsidRPr="005672E8" w:rsidRDefault="00C477A0" w:rsidP="00C477A0">
      <w:pPr>
        <w:pStyle w:val="Normal1"/>
        <w:spacing w:before="0"/>
        <w:ind w:left="709"/>
        <w:contextualSpacing/>
        <w:rPr>
          <w:sz w:val="22"/>
          <w:szCs w:val="22"/>
        </w:rPr>
      </w:pPr>
    </w:p>
    <w:p w14:paraId="1E659B61" w14:textId="77777777" w:rsidR="006770B5" w:rsidRPr="005672E8" w:rsidRDefault="006770B5" w:rsidP="00C477A0">
      <w:pPr>
        <w:pStyle w:val="Normal1"/>
        <w:numPr>
          <w:ilvl w:val="1"/>
          <w:numId w:val="12"/>
        </w:numPr>
        <w:spacing w:before="0"/>
        <w:ind w:hanging="360"/>
        <w:contextualSpacing/>
        <w:rPr>
          <w:b/>
          <w:sz w:val="22"/>
          <w:szCs w:val="22"/>
        </w:rPr>
      </w:pPr>
      <w:r w:rsidRPr="005672E8">
        <w:rPr>
          <w:b/>
          <w:sz w:val="22"/>
          <w:szCs w:val="22"/>
        </w:rPr>
        <w:t>Key career transition points</w:t>
      </w:r>
      <w:r w:rsidR="00EE1C8A">
        <w:rPr>
          <w:b/>
          <w:sz w:val="22"/>
          <w:szCs w:val="22"/>
        </w:rPr>
        <w:t xml:space="preserve"> </w:t>
      </w:r>
    </w:p>
    <w:p w14:paraId="3B068C64" w14:textId="77777777" w:rsidR="006770B5" w:rsidRPr="005672E8" w:rsidRDefault="006770B5" w:rsidP="006770B5">
      <w:pPr>
        <w:pStyle w:val="Normal1"/>
        <w:numPr>
          <w:ilvl w:val="0"/>
          <w:numId w:val="8"/>
        </w:numPr>
        <w:ind w:left="720" w:hanging="720"/>
        <w:rPr>
          <w:sz w:val="22"/>
          <w:szCs w:val="22"/>
        </w:rPr>
      </w:pPr>
      <w:r w:rsidRPr="005672E8">
        <w:rPr>
          <w:b/>
          <w:sz w:val="22"/>
          <w:szCs w:val="22"/>
        </w:rPr>
        <w:t>Recruitment</w:t>
      </w:r>
      <w:r w:rsidRPr="005672E8">
        <w:rPr>
          <w:sz w:val="22"/>
          <w:szCs w:val="22"/>
        </w:rPr>
        <w:t xml:space="preserve"> </w:t>
      </w:r>
      <w:r w:rsidR="00EE1C8A" w:rsidRPr="00EE1C8A">
        <w:rPr>
          <w:b/>
          <w:sz w:val="22"/>
          <w:szCs w:val="22"/>
          <w:highlight w:val="yellow"/>
        </w:rPr>
        <w:t>MEGL/SMD</w:t>
      </w:r>
    </w:p>
    <w:p w14:paraId="05449BFE" w14:textId="77777777" w:rsidR="006770B5" w:rsidRPr="00EE1C8A" w:rsidRDefault="006770B5" w:rsidP="006770B5">
      <w:pPr>
        <w:pStyle w:val="Normal1"/>
        <w:numPr>
          <w:ilvl w:val="0"/>
          <w:numId w:val="8"/>
        </w:numPr>
        <w:ind w:left="720" w:hanging="720"/>
        <w:rPr>
          <w:sz w:val="22"/>
          <w:szCs w:val="22"/>
          <w:highlight w:val="yellow"/>
        </w:rPr>
      </w:pPr>
      <w:r w:rsidRPr="005672E8">
        <w:rPr>
          <w:b/>
          <w:sz w:val="22"/>
          <w:szCs w:val="22"/>
        </w:rPr>
        <w:t>Induction</w:t>
      </w:r>
      <w:r w:rsidRPr="005672E8">
        <w:rPr>
          <w:sz w:val="22"/>
          <w:szCs w:val="22"/>
        </w:rPr>
        <w:t xml:space="preserve"> – describe the support provided to new staff at all levels.</w:t>
      </w:r>
      <w:r w:rsidR="00EE1C8A">
        <w:rPr>
          <w:sz w:val="22"/>
          <w:szCs w:val="22"/>
        </w:rPr>
        <w:t xml:space="preserve"> </w:t>
      </w:r>
      <w:proofErr w:type="spellStart"/>
      <w:r w:rsidR="00EE1C8A" w:rsidRPr="00EE1C8A">
        <w:rPr>
          <w:sz w:val="22"/>
          <w:szCs w:val="22"/>
          <w:highlight w:val="yellow"/>
        </w:rPr>
        <w:t>AMcD</w:t>
      </w:r>
      <w:proofErr w:type="spellEnd"/>
    </w:p>
    <w:p w14:paraId="34211393" w14:textId="77777777" w:rsidR="006770B5" w:rsidRPr="00EE1C8A" w:rsidRDefault="006770B5" w:rsidP="006770B5">
      <w:pPr>
        <w:pStyle w:val="Normal1"/>
        <w:numPr>
          <w:ilvl w:val="0"/>
          <w:numId w:val="8"/>
        </w:numPr>
        <w:ind w:left="720" w:hanging="720"/>
        <w:rPr>
          <w:sz w:val="22"/>
          <w:szCs w:val="22"/>
          <w:highlight w:val="yellow"/>
        </w:rPr>
      </w:pPr>
      <w:bookmarkStart w:id="1" w:name="h.gjdgxs" w:colFirst="0" w:colLast="0"/>
      <w:bookmarkEnd w:id="1"/>
      <w:r w:rsidRPr="005672E8">
        <w:rPr>
          <w:b/>
          <w:sz w:val="22"/>
          <w:szCs w:val="22"/>
        </w:rPr>
        <w:lastRenderedPageBreak/>
        <w:t>Personal Development Review</w:t>
      </w:r>
      <w:r w:rsidRPr="005672E8">
        <w:rPr>
          <w:sz w:val="22"/>
          <w:szCs w:val="22"/>
        </w:rPr>
        <w:t xml:space="preserve"> – describe any schemes (formal or informal) which are currently in place for staff at all levels</w:t>
      </w:r>
      <w:r w:rsidR="00EE1C8A">
        <w:rPr>
          <w:sz w:val="22"/>
          <w:szCs w:val="22"/>
        </w:rPr>
        <w:t xml:space="preserve"> </w:t>
      </w:r>
      <w:proofErr w:type="spellStart"/>
      <w:r w:rsidR="00EE1C8A" w:rsidRPr="00EE1C8A">
        <w:rPr>
          <w:sz w:val="22"/>
          <w:szCs w:val="22"/>
          <w:highlight w:val="yellow"/>
        </w:rPr>
        <w:t>AMcD</w:t>
      </w:r>
      <w:proofErr w:type="spellEnd"/>
    </w:p>
    <w:p w14:paraId="73F8BFFF" w14:textId="77777777" w:rsidR="006770B5" w:rsidRPr="00EE1C8A" w:rsidRDefault="006770B5" w:rsidP="006770B5">
      <w:pPr>
        <w:pStyle w:val="Normal1"/>
        <w:numPr>
          <w:ilvl w:val="0"/>
          <w:numId w:val="8"/>
        </w:numPr>
        <w:ind w:left="720" w:hanging="720"/>
        <w:rPr>
          <w:sz w:val="22"/>
          <w:szCs w:val="22"/>
          <w:highlight w:val="yellow"/>
        </w:rPr>
      </w:pPr>
      <w:r w:rsidRPr="005672E8">
        <w:rPr>
          <w:b/>
          <w:sz w:val="22"/>
          <w:szCs w:val="22"/>
        </w:rPr>
        <w:t>Promotion</w:t>
      </w:r>
      <w:r w:rsidRPr="005672E8">
        <w:rPr>
          <w:sz w:val="22"/>
          <w:szCs w:val="22"/>
        </w:rPr>
        <w:t xml:space="preserve"> – provide data on staff applying for promotion, and comment on applications and success rates by gender and grade. Comment on any evidence of a gender pay gap in promotions at any grade.</w:t>
      </w:r>
      <w:r w:rsidR="00EE1C8A">
        <w:rPr>
          <w:sz w:val="22"/>
          <w:szCs w:val="22"/>
        </w:rPr>
        <w:t xml:space="preserve"> </w:t>
      </w:r>
      <w:r w:rsidR="00EE1C8A" w:rsidRPr="00EE1C8A">
        <w:rPr>
          <w:sz w:val="22"/>
          <w:szCs w:val="22"/>
          <w:highlight w:val="yellow"/>
        </w:rPr>
        <w:t>MEGL/SB</w:t>
      </w:r>
    </w:p>
    <w:p w14:paraId="28EA926C" w14:textId="77777777" w:rsidR="006770B5" w:rsidRPr="005672E8" w:rsidRDefault="006770B5" w:rsidP="006770B5">
      <w:pPr>
        <w:pStyle w:val="Normal1"/>
        <w:rPr>
          <w:sz w:val="22"/>
          <w:szCs w:val="22"/>
        </w:rPr>
      </w:pPr>
    </w:p>
    <w:p w14:paraId="4A000B95" w14:textId="77777777" w:rsidR="006770B5" w:rsidRPr="00EE1C8A" w:rsidRDefault="006770B5" w:rsidP="006770B5">
      <w:pPr>
        <w:pStyle w:val="Normal1"/>
        <w:numPr>
          <w:ilvl w:val="1"/>
          <w:numId w:val="12"/>
        </w:numPr>
        <w:ind w:hanging="360"/>
        <w:contextualSpacing/>
        <w:rPr>
          <w:b/>
          <w:sz w:val="22"/>
          <w:szCs w:val="22"/>
          <w:highlight w:val="yellow"/>
        </w:rPr>
      </w:pPr>
      <w:r w:rsidRPr="00EE1C8A">
        <w:rPr>
          <w:b/>
          <w:sz w:val="22"/>
          <w:szCs w:val="22"/>
          <w:highlight w:val="yellow"/>
        </w:rPr>
        <w:t>Career development of students/postdoctoral researchers – supports and training provided.</w:t>
      </w:r>
      <w:r w:rsidR="00EE1C8A">
        <w:rPr>
          <w:b/>
          <w:sz w:val="22"/>
          <w:szCs w:val="22"/>
          <w:highlight w:val="yellow"/>
        </w:rPr>
        <w:t xml:space="preserve"> PB</w:t>
      </w:r>
    </w:p>
    <w:p w14:paraId="7EC91E81" w14:textId="77777777" w:rsidR="006770B5" w:rsidRPr="005672E8" w:rsidRDefault="006770B5" w:rsidP="00C45E15">
      <w:pPr>
        <w:pStyle w:val="Normal1"/>
        <w:numPr>
          <w:ilvl w:val="1"/>
          <w:numId w:val="12"/>
        </w:numPr>
        <w:spacing w:before="200"/>
        <w:ind w:hanging="360"/>
        <w:rPr>
          <w:b/>
          <w:sz w:val="22"/>
          <w:szCs w:val="22"/>
        </w:rPr>
      </w:pPr>
      <w:r w:rsidRPr="005672E8">
        <w:rPr>
          <w:b/>
          <w:sz w:val="22"/>
          <w:szCs w:val="22"/>
        </w:rPr>
        <w:t xml:space="preserve">Flexible working and managing career breaks  </w:t>
      </w:r>
    </w:p>
    <w:p w14:paraId="04A430BB" w14:textId="77777777" w:rsidR="006770B5" w:rsidRPr="005672E8" w:rsidRDefault="006770B5" w:rsidP="00C45E15">
      <w:pPr>
        <w:pStyle w:val="Normal1"/>
        <w:numPr>
          <w:ilvl w:val="0"/>
          <w:numId w:val="2"/>
        </w:numPr>
        <w:ind w:left="720" w:hanging="720"/>
        <w:rPr>
          <w:sz w:val="22"/>
          <w:szCs w:val="22"/>
        </w:rPr>
      </w:pPr>
      <w:r w:rsidRPr="005672E8">
        <w:rPr>
          <w:b/>
          <w:sz w:val="22"/>
          <w:szCs w:val="22"/>
        </w:rPr>
        <w:t>Cover and support for maternity and adoption leave</w:t>
      </w:r>
      <w:r w:rsidRPr="005672E8">
        <w:rPr>
          <w:sz w:val="22"/>
          <w:szCs w:val="22"/>
        </w:rPr>
        <w:t xml:space="preserve"> </w:t>
      </w:r>
    </w:p>
    <w:p w14:paraId="29EE1EC5" w14:textId="77777777" w:rsidR="006770B5" w:rsidRPr="005672E8" w:rsidRDefault="006770B5" w:rsidP="00C45E15">
      <w:pPr>
        <w:pStyle w:val="Normal1"/>
        <w:numPr>
          <w:ilvl w:val="0"/>
          <w:numId w:val="2"/>
        </w:numPr>
        <w:ind w:left="720" w:hanging="720"/>
        <w:rPr>
          <w:sz w:val="22"/>
          <w:szCs w:val="22"/>
        </w:rPr>
      </w:pPr>
      <w:r w:rsidRPr="005672E8">
        <w:rPr>
          <w:b/>
          <w:sz w:val="22"/>
          <w:szCs w:val="22"/>
        </w:rPr>
        <w:t>Paternity, adoption and parental leave uptake</w:t>
      </w:r>
      <w:r w:rsidRPr="005672E8">
        <w:rPr>
          <w:sz w:val="22"/>
          <w:szCs w:val="22"/>
        </w:rPr>
        <w:t xml:space="preserve"> </w:t>
      </w:r>
    </w:p>
    <w:p w14:paraId="2F1F452F" w14:textId="77777777" w:rsidR="006770B5" w:rsidRPr="005672E8" w:rsidRDefault="006770B5" w:rsidP="00C45E15">
      <w:pPr>
        <w:pStyle w:val="Normal1"/>
        <w:numPr>
          <w:ilvl w:val="0"/>
          <w:numId w:val="2"/>
        </w:numPr>
        <w:ind w:left="720" w:hanging="720"/>
        <w:rPr>
          <w:sz w:val="22"/>
          <w:szCs w:val="22"/>
        </w:rPr>
      </w:pPr>
      <w:r w:rsidRPr="005672E8">
        <w:rPr>
          <w:b/>
          <w:sz w:val="22"/>
          <w:szCs w:val="22"/>
        </w:rPr>
        <w:t>Flexible working</w:t>
      </w:r>
      <w:r w:rsidRPr="005672E8">
        <w:rPr>
          <w:sz w:val="22"/>
          <w:szCs w:val="22"/>
        </w:rPr>
        <w:t xml:space="preserve"> </w:t>
      </w:r>
    </w:p>
    <w:p w14:paraId="5DADD8D7" w14:textId="77777777" w:rsidR="00C477A0" w:rsidRPr="005672E8" w:rsidRDefault="00C477A0" w:rsidP="005672E8">
      <w:pPr>
        <w:pStyle w:val="Normal1"/>
        <w:ind w:left="720"/>
        <w:rPr>
          <w:sz w:val="22"/>
          <w:szCs w:val="22"/>
        </w:rPr>
      </w:pPr>
    </w:p>
    <w:p w14:paraId="716495DB" w14:textId="77777777" w:rsidR="006770B5" w:rsidRPr="005672E8" w:rsidRDefault="006770B5" w:rsidP="006770B5">
      <w:pPr>
        <w:pStyle w:val="Normal1"/>
        <w:numPr>
          <w:ilvl w:val="1"/>
          <w:numId w:val="12"/>
        </w:numPr>
        <w:spacing w:before="200"/>
        <w:ind w:hanging="360"/>
        <w:rPr>
          <w:b/>
          <w:sz w:val="22"/>
          <w:szCs w:val="22"/>
        </w:rPr>
      </w:pPr>
      <w:r w:rsidRPr="005672E8">
        <w:rPr>
          <w:b/>
          <w:sz w:val="22"/>
          <w:szCs w:val="22"/>
        </w:rPr>
        <w:t>Organisation and culture</w:t>
      </w:r>
    </w:p>
    <w:p w14:paraId="3AD5E606" w14:textId="77777777" w:rsidR="006770B5" w:rsidRPr="00EE1C8A" w:rsidRDefault="006770B5" w:rsidP="006770B5">
      <w:pPr>
        <w:pStyle w:val="Normal1"/>
        <w:numPr>
          <w:ilvl w:val="0"/>
          <w:numId w:val="13"/>
        </w:numPr>
        <w:ind w:left="720" w:hanging="720"/>
        <w:rPr>
          <w:sz w:val="22"/>
          <w:szCs w:val="22"/>
          <w:highlight w:val="yellow"/>
        </w:rPr>
      </w:pPr>
      <w:r w:rsidRPr="005672E8">
        <w:rPr>
          <w:b/>
          <w:sz w:val="22"/>
          <w:szCs w:val="22"/>
        </w:rPr>
        <w:t>Representation of men and women on committees</w:t>
      </w:r>
      <w:r w:rsidRPr="005672E8">
        <w:rPr>
          <w:sz w:val="22"/>
          <w:szCs w:val="22"/>
        </w:rPr>
        <w:t xml:space="preserve"> – provide a breakdown by committee and explain any differences in gender representation. </w:t>
      </w:r>
      <w:r w:rsidR="00EE1C8A" w:rsidRPr="00EE1C8A">
        <w:rPr>
          <w:sz w:val="22"/>
          <w:szCs w:val="22"/>
          <w:highlight w:val="yellow"/>
        </w:rPr>
        <w:t>School Office</w:t>
      </w:r>
      <w:r w:rsidR="00EE1C8A">
        <w:rPr>
          <w:sz w:val="22"/>
          <w:szCs w:val="22"/>
          <w:highlight w:val="yellow"/>
        </w:rPr>
        <w:t>/MEGL/</w:t>
      </w:r>
      <w:proofErr w:type="spellStart"/>
      <w:r w:rsidR="00EE1C8A">
        <w:rPr>
          <w:sz w:val="22"/>
          <w:szCs w:val="22"/>
          <w:highlight w:val="yellow"/>
        </w:rPr>
        <w:t>AMcD</w:t>
      </w:r>
      <w:proofErr w:type="spellEnd"/>
    </w:p>
    <w:p w14:paraId="3AE64A93" w14:textId="77777777" w:rsidR="006770B5" w:rsidRPr="00EE1C8A" w:rsidRDefault="006770B5" w:rsidP="006770B5">
      <w:pPr>
        <w:pStyle w:val="Normal1"/>
        <w:numPr>
          <w:ilvl w:val="0"/>
          <w:numId w:val="13"/>
        </w:numPr>
        <w:ind w:left="720" w:hanging="720"/>
        <w:rPr>
          <w:color w:val="FF0000"/>
          <w:sz w:val="22"/>
          <w:szCs w:val="22"/>
          <w:highlight w:val="yellow"/>
        </w:rPr>
      </w:pPr>
      <w:r w:rsidRPr="00EE1C8A">
        <w:rPr>
          <w:b/>
          <w:color w:val="FF0000"/>
          <w:sz w:val="22"/>
          <w:szCs w:val="22"/>
        </w:rPr>
        <w:t>Workload model</w:t>
      </w:r>
      <w:r w:rsidRPr="00EE1C8A">
        <w:rPr>
          <w:color w:val="FF0000"/>
          <w:sz w:val="22"/>
          <w:szCs w:val="22"/>
        </w:rPr>
        <w:t xml:space="preserve"> – describe the systems in place to ensure that workload allocation— including pastoral, administrative and outreach responsibilities—is fair, </w:t>
      </w:r>
      <w:r w:rsidR="00EE1C8A" w:rsidRPr="00EE1C8A">
        <w:rPr>
          <w:color w:val="FF0000"/>
          <w:sz w:val="22"/>
          <w:szCs w:val="22"/>
          <w:highlight w:val="yellow"/>
        </w:rPr>
        <w:t>MEGL</w:t>
      </w:r>
    </w:p>
    <w:p w14:paraId="2FC7AD70" w14:textId="00EA364D" w:rsidR="006770B5" w:rsidRPr="00AB344F" w:rsidRDefault="006770B5" w:rsidP="006770B5">
      <w:pPr>
        <w:pStyle w:val="Normal1"/>
        <w:numPr>
          <w:ilvl w:val="0"/>
          <w:numId w:val="13"/>
        </w:numPr>
        <w:ind w:left="720" w:hanging="720"/>
        <w:rPr>
          <w:sz w:val="22"/>
          <w:szCs w:val="22"/>
          <w:highlight w:val="yellow"/>
        </w:rPr>
      </w:pPr>
      <w:r w:rsidRPr="005672E8">
        <w:rPr>
          <w:b/>
          <w:sz w:val="22"/>
          <w:szCs w:val="22"/>
        </w:rPr>
        <w:t>Timing of departmental meetings and social gatherings</w:t>
      </w:r>
      <w:r w:rsidRPr="005672E8">
        <w:rPr>
          <w:sz w:val="22"/>
          <w:szCs w:val="22"/>
        </w:rPr>
        <w:t xml:space="preserve"> </w:t>
      </w:r>
      <w:r w:rsidR="00AB344F">
        <w:rPr>
          <w:sz w:val="22"/>
          <w:szCs w:val="22"/>
        </w:rPr>
        <w:t>–</w:t>
      </w:r>
      <w:r w:rsidR="00EE1C8A">
        <w:rPr>
          <w:sz w:val="22"/>
          <w:szCs w:val="22"/>
        </w:rPr>
        <w:t xml:space="preserve"> </w:t>
      </w:r>
      <w:r w:rsidR="00AB344F" w:rsidRPr="00AB344F">
        <w:rPr>
          <w:sz w:val="22"/>
          <w:szCs w:val="22"/>
          <w:highlight w:val="yellow"/>
        </w:rPr>
        <w:t>School Office</w:t>
      </w:r>
    </w:p>
    <w:p w14:paraId="1A5578D5" w14:textId="77777777" w:rsidR="006770B5" w:rsidRPr="00EE1C8A" w:rsidRDefault="006770B5" w:rsidP="006770B5">
      <w:pPr>
        <w:pStyle w:val="Normal1"/>
        <w:numPr>
          <w:ilvl w:val="0"/>
          <w:numId w:val="13"/>
        </w:numPr>
        <w:ind w:left="720" w:hanging="720"/>
        <w:rPr>
          <w:sz w:val="22"/>
          <w:szCs w:val="22"/>
          <w:highlight w:val="yellow"/>
        </w:rPr>
      </w:pPr>
      <w:r w:rsidRPr="005672E8">
        <w:rPr>
          <w:b/>
          <w:sz w:val="22"/>
          <w:szCs w:val="22"/>
        </w:rPr>
        <w:t>Visibility of women as role models</w:t>
      </w:r>
      <w:r w:rsidRPr="005672E8">
        <w:rPr>
          <w:sz w:val="22"/>
          <w:szCs w:val="22"/>
        </w:rPr>
        <w:t xml:space="preserve"> </w:t>
      </w:r>
      <w:r w:rsidR="00EE1C8A" w:rsidRPr="00EE1C8A">
        <w:rPr>
          <w:sz w:val="22"/>
          <w:szCs w:val="22"/>
          <w:highlight w:val="yellow"/>
        </w:rPr>
        <w:t>EMD</w:t>
      </w:r>
    </w:p>
    <w:p w14:paraId="5C09405F" w14:textId="77777777" w:rsidR="006770B5" w:rsidRPr="00EE1C8A" w:rsidRDefault="006770B5" w:rsidP="006770B5">
      <w:pPr>
        <w:pStyle w:val="Normal1"/>
        <w:numPr>
          <w:ilvl w:val="0"/>
          <w:numId w:val="13"/>
        </w:numPr>
        <w:ind w:left="720" w:hanging="720"/>
        <w:rPr>
          <w:sz w:val="22"/>
          <w:szCs w:val="22"/>
          <w:highlight w:val="magenta"/>
        </w:rPr>
      </w:pPr>
      <w:r w:rsidRPr="00EE1C8A">
        <w:rPr>
          <w:b/>
          <w:sz w:val="22"/>
          <w:szCs w:val="22"/>
          <w:highlight w:val="magenta"/>
        </w:rPr>
        <w:t xml:space="preserve">Culture </w:t>
      </w:r>
      <w:r w:rsidR="00EE1C8A">
        <w:rPr>
          <w:b/>
          <w:sz w:val="22"/>
          <w:szCs w:val="22"/>
          <w:highlight w:val="magenta"/>
        </w:rPr>
        <w:t xml:space="preserve">– survey done - focus group led by </w:t>
      </w:r>
      <w:proofErr w:type="spellStart"/>
      <w:r w:rsidR="00EE1C8A">
        <w:rPr>
          <w:b/>
          <w:sz w:val="22"/>
          <w:szCs w:val="22"/>
          <w:highlight w:val="magenta"/>
        </w:rPr>
        <w:t>AnneMarie</w:t>
      </w:r>
      <w:proofErr w:type="spellEnd"/>
      <w:r w:rsidR="00EE1C8A">
        <w:rPr>
          <w:b/>
          <w:sz w:val="22"/>
          <w:szCs w:val="22"/>
          <w:highlight w:val="magenta"/>
        </w:rPr>
        <w:t xml:space="preserve"> and </w:t>
      </w:r>
      <w:proofErr w:type="gramStart"/>
      <w:r w:rsidR="00EE1C8A">
        <w:rPr>
          <w:b/>
          <w:sz w:val="22"/>
          <w:szCs w:val="22"/>
          <w:highlight w:val="magenta"/>
        </w:rPr>
        <w:t>Patsy ?</w:t>
      </w:r>
      <w:proofErr w:type="gramEnd"/>
    </w:p>
    <w:p w14:paraId="69F750CE" w14:textId="77777777" w:rsidR="006770B5" w:rsidRPr="00EE1C8A" w:rsidRDefault="006770B5" w:rsidP="006770B5">
      <w:pPr>
        <w:pStyle w:val="Normal1"/>
        <w:numPr>
          <w:ilvl w:val="0"/>
          <w:numId w:val="13"/>
        </w:numPr>
        <w:ind w:left="720" w:hanging="720"/>
        <w:rPr>
          <w:color w:val="FF0000"/>
          <w:sz w:val="22"/>
          <w:szCs w:val="22"/>
        </w:rPr>
      </w:pPr>
      <w:r w:rsidRPr="00EE1C8A">
        <w:rPr>
          <w:b/>
          <w:color w:val="FF0000"/>
          <w:sz w:val="22"/>
          <w:szCs w:val="22"/>
        </w:rPr>
        <w:t>Outreach activities</w:t>
      </w:r>
      <w:r w:rsidRPr="00EE1C8A">
        <w:rPr>
          <w:color w:val="FF0000"/>
          <w:sz w:val="22"/>
          <w:szCs w:val="22"/>
        </w:rPr>
        <w:t xml:space="preserve"> – state the proportion of men and women involved in outreach and </w:t>
      </w:r>
      <w:r w:rsidRPr="00C45E15">
        <w:rPr>
          <w:color w:val="FF0000"/>
          <w:sz w:val="22"/>
          <w:szCs w:val="22"/>
        </w:rPr>
        <w:t xml:space="preserve">engagement activities. </w:t>
      </w:r>
      <w:r w:rsidRPr="00EE1C8A">
        <w:rPr>
          <w:color w:val="FF0000"/>
          <w:sz w:val="22"/>
          <w:szCs w:val="22"/>
        </w:rPr>
        <w:t>Comment on the uptake of these activities by gender, where possible.</w:t>
      </w:r>
      <w:r w:rsidR="00EE1C8A">
        <w:rPr>
          <w:color w:val="FF0000"/>
          <w:sz w:val="22"/>
          <w:szCs w:val="22"/>
        </w:rPr>
        <w:t xml:space="preserve"> </w:t>
      </w:r>
      <w:r w:rsidR="00EE1C8A" w:rsidRPr="00EE1C8A">
        <w:rPr>
          <w:color w:val="000000" w:themeColor="text1"/>
          <w:sz w:val="22"/>
          <w:szCs w:val="22"/>
          <w:highlight w:val="yellow"/>
        </w:rPr>
        <w:t>NS/</w:t>
      </w:r>
      <w:proofErr w:type="spellStart"/>
      <w:r w:rsidR="00EE1C8A" w:rsidRPr="00EE1C8A">
        <w:rPr>
          <w:color w:val="000000" w:themeColor="text1"/>
          <w:sz w:val="22"/>
          <w:szCs w:val="22"/>
          <w:highlight w:val="yellow"/>
        </w:rPr>
        <w:t>JoD</w:t>
      </w:r>
      <w:proofErr w:type="spellEnd"/>
      <w:r w:rsidR="00EE1C8A">
        <w:rPr>
          <w:color w:val="000000" w:themeColor="text1"/>
          <w:sz w:val="22"/>
          <w:szCs w:val="22"/>
        </w:rPr>
        <w:t>/Carl Poree</w:t>
      </w:r>
    </w:p>
    <w:p w14:paraId="4FE3D5F0" w14:textId="77777777" w:rsidR="006770B5" w:rsidRPr="00EE1C8A" w:rsidRDefault="006770B5" w:rsidP="006770B5">
      <w:pPr>
        <w:pStyle w:val="Normal1"/>
        <w:numPr>
          <w:ilvl w:val="0"/>
          <w:numId w:val="13"/>
        </w:numPr>
        <w:ind w:left="720" w:hanging="720"/>
        <w:rPr>
          <w:sz w:val="22"/>
          <w:szCs w:val="22"/>
          <w:highlight w:val="yellow"/>
        </w:rPr>
      </w:pPr>
      <w:r w:rsidRPr="005672E8">
        <w:rPr>
          <w:b/>
          <w:sz w:val="22"/>
          <w:szCs w:val="22"/>
        </w:rPr>
        <w:t>HR policies</w:t>
      </w:r>
      <w:r w:rsidRPr="005672E8">
        <w:rPr>
          <w:sz w:val="22"/>
          <w:szCs w:val="22"/>
        </w:rPr>
        <w:t xml:space="preserve"> – describe how consistently HR policies about equality, dignity at work, bullying, harassment, grievance and disciplinary processes are applied and followed in practice. Describe how the application of HR policies in the department is evaluated.</w:t>
      </w:r>
      <w:r w:rsidR="00EE1C8A">
        <w:rPr>
          <w:sz w:val="22"/>
          <w:szCs w:val="22"/>
        </w:rPr>
        <w:t xml:space="preserve"> </w:t>
      </w:r>
      <w:r w:rsidR="00EE1C8A" w:rsidRPr="00EE1C8A">
        <w:rPr>
          <w:sz w:val="22"/>
          <w:szCs w:val="22"/>
          <w:highlight w:val="yellow"/>
        </w:rPr>
        <w:t>SB</w:t>
      </w:r>
      <w:r w:rsidR="00EE1C8A">
        <w:rPr>
          <w:sz w:val="22"/>
          <w:szCs w:val="22"/>
          <w:highlight w:val="yellow"/>
        </w:rPr>
        <w:t>/MEGL</w:t>
      </w:r>
    </w:p>
    <w:p w14:paraId="72932FA0" w14:textId="77777777" w:rsidR="006770B5" w:rsidRPr="005672E8" w:rsidRDefault="006770B5" w:rsidP="006770B5">
      <w:pPr>
        <w:pStyle w:val="Normal1"/>
        <w:ind w:left="720"/>
        <w:rPr>
          <w:sz w:val="22"/>
          <w:szCs w:val="22"/>
        </w:rPr>
      </w:pPr>
    </w:p>
    <w:p w14:paraId="13970C5B" w14:textId="77777777" w:rsidR="006770B5" w:rsidRPr="005672E8" w:rsidRDefault="006770B5" w:rsidP="006770B5">
      <w:pPr>
        <w:pStyle w:val="Heading3"/>
        <w:numPr>
          <w:ilvl w:val="0"/>
          <w:numId w:val="9"/>
        </w:numPr>
        <w:ind w:left="360" w:hanging="360"/>
        <w:rPr>
          <w:sz w:val="22"/>
          <w:szCs w:val="22"/>
        </w:rPr>
      </w:pPr>
      <w:r w:rsidRPr="005672E8">
        <w:rPr>
          <w:sz w:val="22"/>
          <w:szCs w:val="22"/>
        </w:rPr>
        <w:t>Any other comments: recommended 500 words</w:t>
      </w:r>
    </w:p>
    <w:p w14:paraId="24C1C305" w14:textId="77777777" w:rsidR="006770B5" w:rsidRPr="005672E8" w:rsidRDefault="006770B5" w:rsidP="006770B5">
      <w:pPr>
        <w:pStyle w:val="Heading3"/>
        <w:numPr>
          <w:ilvl w:val="0"/>
          <w:numId w:val="9"/>
        </w:numPr>
        <w:ind w:left="360" w:hanging="360"/>
        <w:rPr>
          <w:sz w:val="22"/>
          <w:szCs w:val="22"/>
        </w:rPr>
      </w:pPr>
      <w:r w:rsidRPr="005672E8">
        <w:rPr>
          <w:sz w:val="22"/>
          <w:szCs w:val="22"/>
        </w:rPr>
        <w:t>Case studies: impacting on individuals: recommended 1000 words</w:t>
      </w:r>
      <w:r w:rsidR="00EE1C8A">
        <w:rPr>
          <w:sz w:val="22"/>
          <w:szCs w:val="22"/>
        </w:rPr>
        <w:t xml:space="preserve"> </w:t>
      </w:r>
      <w:r w:rsidR="00EE1C8A" w:rsidRPr="00EE1C8A">
        <w:rPr>
          <w:sz w:val="22"/>
          <w:szCs w:val="22"/>
          <w:highlight w:val="yellow"/>
        </w:rPr>
        <w:t>PM/PC</w:t>
      </w:r>
    </w:p>
    <w:p w14:paraId="386366FE" w14:textId="77777777" w:rsidR="006770B5" w:rsidRPr="005672E8" w:rsidRDefault="006770B5" w:rsidP="006770B5">
      <w:r w:rsidRPr="005672E8">
        <w:rPr>
          <w:b/>
        </w:rPr>
        <w:t>Two</w:t>
      </w:r>
      <w:r w:rsidRPr="005672E8">
        <w:rPr>
          <w:color w:val="002060"/>
        </w:rPr>
        <w:t xml:space="preserve"> </w:t>
      </w:r>
      <w:r w:rsidRPr="005672E8">
        <w:t xml:space="preserve">individuals working in the department should describe how the department’s activities have benefitted them. The subject of one of these case studies should be a member of the self-assessment team (SAT), while the second case study should be related to someone in the department outside of the SAT. More information on case studies is available in the </w:t>
      </w:r>
      <w:hyperlink r:id="rId11">
        <w:r w:rsidRPr="005672E8">
          <w:rPr>
            <w:u w:val="single"/>
          </w:rPr>
          <w:t>Athena SWAN handbook</w:t>
        </w:r>
      </w:hyperlink>
      <w:r w:rsidRPr="005672E8">
        <w:t xml:space="preserve">. </w:t>
      </w:r>
    </w:p>
    <w:p w14:paraId="5872DF63" w14:textId="77777777" w:rsidR="006770B5" w:rsidRPr="00EE1C8A" w:rsidRDefault="006770B5" w:rsidP="006770B5">
      <w:pPr>
        <w:pStyle w:val="Heading3"/>
        <w:numPr>
          <w:ilvl w:val="0"/>
          <w:numId w:val="9"/>
        </w:numPr>
        <w:ind w:left="360" w:hanging="360"/>
        <w:rPr>
          <w:sz w:val="22"/>
          <w:szCs w:val="22"/>
          <w:highlight w:val="yellow"/>
        </w:rPr>
      </w:pPr>
      <w:r w:rsidRPr="005672E8">
        <w:rPr>
          <w:sz w:val="22"/>
          <w:szCs w:val="22"/>
        </w:rPr>
        <w:lastRenderedPageBreak/>
        <w:t xml:space="preserve">Action Plan </w:t>
      </w:r>
      <w:r w:rsidR="00EE1C8A" w:rsidRPr="00EE1C8A">
        <w:rPr>
          <w:sz w:val="22"/>
          <w:szCs w:val="22"/>
          <w:highlight w:val="yellow"/>
        </w:rPr>
        <w:t>ALL</w:t>
      </w:r>
    </w:p>
    <w:p w14:paraId="49F0ACE2" w14:textId="77777777" w:rsidR="006770B5" w:rsidRPr="005672E8" w:rsidRDefault="006770B5" w:rsidP="006770B5">
      <w:pPr>
        <w:pStyle w:val="Normal1"/>
        <w:rPr>
          <w:sz w:val="22"/>
          <w:szCs w:val="22"/>
        </w:rPr>
      </w:pPr>
      <w:r w:rsidRPr="005672E8">
        <w:rPr>
          <w:sz w:val="22"/>
          <w:szCs w:val="22"/>
        </w:rPr>
        <w:t xml:space="preserve">The Action Plan should be presented as a table, comprised of prioritised actions to address the issues identified in this application. For each action, an appropriate success/outcome measure should be defined, as well as the person/position(s) responsible for the action, and timescales for completion. The plan should cover current initiatives and your aspirations </w:t>
      </w:r>
      <w:r w:rsidRPr="005672E8">
        <w:rPr>
          <w:b/>
          <w:color w:val="003767"/>
          <w:sz w:val="22"/>
          <w:szCs w:val="22"/>
        </w:rPr>
        <w:t>for the next three years</w:t>
      </w:r>
      <w:r w:rsidRPr="005672E8">
        <w:rPr>
          <w:sz w:val="22"/>
          <w:szCs w:val="22"/>
        </w:rPr>
        <w:t xml:space="preserve">. Actions, and their measures of success, should be </w:t>
      </w:r>
      <w:r w:rsidRPr="005672E8">
        <w:rPr>
          <w:b/>
          <w:sz w:val="22"/>
          <w:szCs w:val="22"/>
        </w:rPr>
        <w:t>S</w:t>
      </w:r>
      <w:r w:rsidRPr="005672E8">
        <w:rPr>
          <w:sz w:val="22"/>
          <w:szCs w:val="22"/>
        </w:rPr>
        <w:t xml:space="preserve">pecific, </w:t>
      </w:r>
      <w:r w:rsidRPr="005672E8">
        <w:rPr>
          <w:b/>
          <w:sz w:val="22"/>
          <w:szCs w:val="22"/>
        </w:rPr>
        <w:t>M</w:t>
      </w:r>
      <w:r w:rsidRPr="005672E8">
        <w:rPr>
          <w:sz w:val="22"/>
          <w:szCs w:val="22"/>
        </w:rPr>
        <w:t xml:space="preserve">easurable, </w:t>
      </w:r>
      <w:r w:rsidRPr="005672E8">
        <w:rPr>
          <w:b/>
          <w:sz w:val="22"/>
          <w:szCs w:val="22"/>
        </w:rPr>
        <w:t>A</w:t>
      </w:r>
      <w:r w:rsidRPr="005672E8">
        <w:rPr>
          <w:sz w:val="22"/>
          <w:szCs w:val="22"/>
        </w:rPr>
        <w:t xml:space="preserve">chievable, </w:t>
      </w:r>
      <w:r w:rsidRPr="005672E8">
        <w:rPr>
          <w:b/>
          <w:sz w:val="22"/>
          <w:szCs w:val="22"/>
        </w:rPr>
        <w:t>R</w:t>
      </w:r>
      <w:r w:rsidRPr="005672E8">
        <w:rPr>
          <w:sz w:val="22"/>
          <w:szCs w:val="22"/>
        </w:rPr>
        <w:t xml:space="preserve">elevant and </w:t>
      </w:r>
      <w:r w:rsidRPr="005672E8">
        <w:rPr>
          <w:b/>
          <w:sz w:val="22"/>
          <w:szCs w:val="22"/>
        </w:rPr>
        <w:t>T</w:t>
      </w:r>
      <w:r w:rsidRPr="005672E8">
        <w:rPr>
          <w:sz w:val="22"/>
          <w:szCs w:val="22"/>
        </w:rPr>
        <w:t>ime-bound (SMART).</w:t>
      </w:r>
    </w:p>
    <w:p w14:paraId="312544BA" w14:textId="77777777" w:rsidR="006770B5" w:rsidRDefault="006770B5" w:rsidP="006770B5">
      <w:pPr>
        <w:pStyle w:val="Normal1"/>
      </w:pPr>
    </w:p>
    <w:p w14:paraId="7DCA5940" w14:textId="77777777" w:rsidR="006770B5" w:rsidRPr="006770B5" w:rsidRDefault="006770B5" w:rsidP="006770B5">
      <w:pPr>
        <w:rPr>
          <w:b/>
          <w:lang w:val="en-GB"/>
        </w:rPr>
      </w:pPr>
    </w:p>
    <w:p w14:paraId="56CEE99B" w14:textId="77777777" w:rsidR="006770B5" w:rsidRPr="006770B5" w:rsidRDefault="006770B5" w:rsidP="006770B5">
      <w:pPr>
        <w:rPr>
          <w:b/>
        </w:rPr>
      </w:pPr>
    </w:p>
    <w:sectPr w:rsidR="006770B5" w:rsidRPr="006770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1D1CE" w14:textId="77777777" w:rsidR="00D1020E" w:rsidRDefault="00D1020E" w:rsidP="00F26CE1">
      <w:pPr>
        <w:spacing w:after="0" w:line="240" w:lineRule="auto"/>
      </w:pPr>
      <w:r>
        <w:separator/>
      </w:r>
    </w:p>
  </w:endnote>
  <w:endnote w:type="continuationSeparator" w:id="0">
    <w:p w14:paraId="453843C0" w14:textId="77777777" w:rsidR="00D1020E" w:rsidRDefault="00D1020E" w:rsidP="00F26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27E58" w14:textId="77777777" w:rsidR="00D1020E" w:rsidRDefault="00D1020E" w:rsidP="00F26CE1">
      <w:pPr>
        <w:spacing w:after="0" w:line="240" w:lineRule="auto"/>
      </w:pPr>
      <w:r>
        <w:separator/>
      </w:r>
    </w:p>
  </w:footnote>
  <w:footnote w:type="continuationSeparator" w:id="0">
    <w:p w14:paraId="37E6EC1C" w14:textId="77777777" w:rsidR="00D1020E" w:rsidRDefault="00D1020E" w:rsidP="00F26C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6811"/>
    <w:multiLevelType w:val="hybridMultilevel"/>
    <w:tmpl w:val="394EE6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8EB6217"/>
    <w:multiLevelType w:val="multilevel"/>
    <w:tmpl w:val="AAE8F0D4"/>
    <w:lvl w:ilvl="0">
      <w:start w:val="3"/>
      <w:numFmt w:val="decimal"/>
      <w:lvlText w:val="%1"/>
      <w:lvlJc w:val="left"/>
      <w:pPr>
        <w:ind w:left="360" w:firstLine="0"/>
      </w:pPr>
    </w:lvl>
    <w:lvl w:ilvl="1">
      <w:start w:val="1"/>
      <w:numFmt w:val="decimal"/>
      <w:lvlText w:val="%1.%2"/>
      <w:lvlJc w:val="left"/>
      <w:pPr>
        <w:ind w:left="284"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2">
    <w:nsid w:val="0BEA4F88"/>
    <w:multiLevelType w:val="multilevel"/>
    <w:tmpl w:val="CADCF4FE"/>
    <w:lvl w:ilvl="0">
      <w:start w:val="1"/>
      <w:numFmt w:val="lowerRoman"/>
      <w:lvlText w:val="(%1)"/>
      <w:lvlJc w:val="left"/>
      <w:pPr>
        <w:ind w:left="720" w:firstLine="0"/>
      </w:pPr>
    </w:lvl>
    <w:lvl w:ilvl="1">
      <w:start w:val="1"/>
      <w:numFmt w:val="bullet"/>
      <w:lvlText w:val="●"/>
      <w:lvlJc w:val="left"/>
      <w:pPr>
        <w:ind w:left="1080" w:firstLine="720"/>
      </w:pPr>
      <w:rPr>
        <w:rFonts w:ascii="Arial" w:eastAsia="Arial" w:hAnsi="Arial" w:cs="Arial"/>
      </w:r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
    <w:nsid w:val="0EAE6AF5"/>
    <w:multiLevelType w:val="hybridMultilevel"/>
    <w:tmpl w:val="1412510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4830B39"/>
    <w:multiLevelType w:val="hybridMultilevel"/>
    <w:tmpl w:val="D9EE1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FB7A75"/>
    <w:multiLevelType w:val="multilevel"/>
    <w:tmpl w:val="37341690"/>
    <w:lvl w:ilvl="0">
      <w:start w:val="1"/>
      <w:numFmt w:val="decimal"/>
      <w:lvlText w:val="%1."/>
      <w:lvlJc w:val="left"/>
      <w:pPr>
        <w:ind w:left="360" w:firstLine="0"/>
      </w:pPr>
    </w:lvl>
    <w:lvl w:ilvl="1">
      <w:start w:val="1"/>
      <w:numFmt w:val="bullet"/>
      <w:lvlText w:val="●"/>
      <w:lvlJc w:val="left"/>
      <w:pPr>
        <w:ind w:left="1080" w:firstLine="720"/>
      </w:pPr>
      <w:rPr>
        <w:rFonts w:ascii="Arial" w:eastAsia="Arial" w:hAnsi="Arial" w:cs="Arial"/>
      </w:r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6">
    <w:nsid w:val="19B434C1"/>
    <w:multiLevelType w:val="multilevel"/>
    <w:tmpl w:val="F7A414FA"/>
    <w:lvl w:ilvl="0">
      <w:start w:val="1"/>
      <w:numFmt w:val="lowerRoman"/>
      <w:lvlText w:val="(%1)"/>
      <w:lvlJc w:val="left"/>
      <w:pPr>
        <w:ind w:left="720" w:firstLine="0"/>
      </w:pPr>
    </w:lvl>
    <w:lvl w:ilvl="1">
      <w:start w:val="1"/>
      <w:numFmt w:val="decimal"/>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7">
    <w:nsid w:val="229B4283"/>
    <w:multiLevelType w:val="multilevel"/>
    <w:tmpl w:val="9B9630C8"/>
    <w:lvl w:ilvl="0">
      <w:start w:val="1"/>
      <w:numFmt w:val="lowerRoman"/>
      <w:lvlText w:val="(%1)"/>
      <w:lvlJc w:val="left"/>
      <w:pPr>
        <w:ind w:left="360" w:firstLine="0"/>
      </w:pPr>
      <w:rPr>
        <w:b w:val="0"/>
      </w:r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8">
    <w:nsid w:val="240059FE"/>
    <w:multiLevelType w:val="hybridMultilevel"/>
    <w:tmpl w:val="5A08448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nsid w:val="341078D4"/>
    <w:multiLevelType w:val="multilevel"/>
    <w:tmpl w:val="4DB0D79E"/>
    <w:lvl w:ilvl="0">
      <w:start w:val="4"/>
      <w:numFmt w:val="decimal"/>
      <w:lvlText w:val="%1"/>
      <w:lvlJc w:val="left"/>
      <w:pPr>
        <w:ind w:left="36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10">
    <w:nsid w:val="37DF18A1"/>
    <w:multiLevelType w:val="hybridMultilevel"/>
    <w:tmpl w:val="313647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B212BFE"/>
    <w:multiLevelType w:val="multilevel"/>
    <w:tmpl w:val="F4643784"/>
    <w:lvl w:ilvl="0">
      <w:start w:val="3"/>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3B531CC1"/>
    <w:multiLevelType w:val="hybridMultilevel"/>
    <w:tmpl w:val="8878DF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B6B39A8"/>
    <w:multiLevelType w:val="hybridMultilevel"/>
    <w:tmpl w:val="723E34F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DB16E0F"/>
    <w:multiLevelType w:val="hybridMultilevel"/>
    <w:tmpl w:val="D140279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1AD5A75"/>
    <w:multiLevelType w:val="multilevel"/>
    <w:tmpl w:val="0FCAFFD4"/>
    <w:lvl w:ilvl="0">
      <w:start w:val="1"/>
      <w:numFmt w:val="lowerRoman"/>
      <w:lvlText w:val="(%1)"/>
      <w:lvlJc w:val="left"/>
      <w:pPr>
        <w:ind w:left="0" w:firstLine="0"/>
      </w:pPr>
      <w:rPr>
        <w:b w:val="0"/>
      </w:r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16">
    <w:nsid w:val="44BE0138"/>
    <w:multiLevelType w:val="multilevel"/>
    <w:tmpl w:val="EF4E4398"/>
    <w:lvl w:ilvl="0">
      <w:start w:val="1"/>
      <w:numFmt w:val="lowerRoman"/>
      <w:lvlText w:val="(%1)"/>
      <w:lvlJc w:val="left"/>
      <w:pPr>
        <w:ind w:left="360" w:firstLine="0"/>
      </w:pPr>
      <w:rPr>
        <w:b w:val="0"/>
      </w:r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17">
    <w:nsid w:val="4B9F4E5F"/>
    <w:multiLevelType w:val="multilevel"/>
    <w:tmpl w:val="CDAA7E6A"/>
    <w:lvl w:ilvl="0">
      <w:start w:val="1"/>
      <w:numFmt w:val="lowerRoman"/>
      <w:lvlText w:val="(%1)"/>
      <w:lvlJc w:val="left"/>
      <w:pPr>
        <w:ind w:left="720" w:firstLine="0"/>
      </w:pPr>
    </w:lvl>
    <w:lvl w:ilvl="1">
      <w:start w:val="1"/>
      <w:numFmt w:val="bullet"/>
      <w:lvlText w:val="●"/>
      <w:lvlJc w:val="left"/>
      <w:pPr>
        <w:ind w:left="1080" w:firstLine="720"/>
      </w:pPr>
      <w:rPr>
        <w:rFonts w:ascii="Arial" w:eastAsia="Arial" w:hAnsi="Arial" w:cs="Arial"/>
      </w:r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8">
    <w:nsid w:val="4BD02A33"/>
    <w:multiLevelType w:val="multilevel"/>
    <w:tmpl w:val="23FAACF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599043B7"/>
    <w:multiLevelType w:val="hybridMultilevel"/>
    <w:tmpl w:val="AB624C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65D74830"/>
    <w:multiLevelType w:val="multilevel"/>
    <w:tmpl w:val="007A8F20"/>
    <w:lvl w:ilvl="0">
      <w:start w:val="1"/>
      <w:numFmt w:val="lowerRoman"/>
      <w:lvlText w:val="(%1)"/>
      <w:lvlJc w:val="left"/>
      <w:pPr>
        <w:ind w:left="360" w:firstLine="0"/>
      </w:pPr>
      <w:rPr>
        <w:b w:val="0"/>
      </w:r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21">
    <w:nsid w:val="6A6D3765"/>
    <w:multiLevelType w:val="hybridMultilevel"/>
    <w:tmpl w:val="B616E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70855DC2"/>
    <w:multiLevelType w:val="multilevel"/>
    <w:tmpl w:val="4DF89760"/>
    <w:lvl w:ilvl="0">
      <w:start w:val="1"/>
      <w:numFmt w:val="lowerRoman"/>
      <w:lvlText w:val="(%1)"/>
      <w:lvlJc w:val="left"/>
      <w:pPr>
        <w:ind w:left="720" w:firstLine="0"/>
      </w:pPr>
    </w:lvl>
    <w:lvl w:ilvl="1">
      <w:start w:val="1"/>
      <w:numFmt w:val="decimal"/>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3">
    <w:nsid w:val="71051A49"/>
    <w:multiLevelType w:val="hybridMultilevel"/>
    <w:tmpl w:val="3E9EA6BE"/>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4">
    <w:nsid w:val="7338083A"/>
    <w:multiLevelType w:val="multilevel"/>
    <w:tmpl w:val="6F6CFBAC"/>
    <w:lvl w:ilvl="0">
      <w:start w:val="1"/>
      <w:numFmt w:val="lowerRoman"/>
      <w:lvlText w:val="(%1)"/>
      <w:lvlJc w:val="left"/>
      <w:pPr>
        <w:ind w:left="360" w:firstLine="0"/>
      </w:pPr>
      <w:rPr>
        <w:b w:val="0"/>
      </w:r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25">
    <w:nsid w:val="7C884D6C"/>
    <w:multiLevelType w:val="hybridMultilevel"/>
    <w:tmpl w:val="62609132"/>
    <w:lvl w:ilvl="0" w:tplc="18090001">
      <w:start w:val="1"/>
      <w:numFmt w:val="bullet"/>
      <w:lvlText w:val=""/>
      <w:lvlJc w:val="left"/>
      <w:pPr>
        <w:ind w:left="1440" w:hanging="720"/>
      </w:pPr>
      <w:rPr>
        <w:rFonts w:ascii="Symbol" w:hAnsi="Symbol"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20"/>
  </w:num>
  <w:num w:numId="2">
    <w:abstractNumId w:val="7"/>
  </w:num>
  <w:num w:numId="3">
    <w:abstractNumId w:val="1"/>
  </w:num>
  <w:num w:numId="4">
    <w:abstractNumId w:val="15"/>
  </w:num>
  <w:num w:numId="5">
    <w:abstractNumId w:val="6"/>
  </w:num>
  <w:num w:numId="6">
    <w:abstractNumId w:val="5"/>
  </w:num>
  <w:num w:numId="7">
    <w:abstractNumId w:val="22"/>
  </w:num>
  <w:num w:numId="8">
    <w:abstractNumId w:val="24"/>
  </w:num>
  <w:num w:numId="9">
    <w:abstractNumId w:val="18"/>
  </w:num>
  <w:num w:numId="10">
    <w:abstractNumId w:val="17"/>
  </w:num>
  <w:num w:numId="11">
    <w:abstractNumId w:val="2"/>
  </w:num>
  <w:num w:numId="12">
    <w:abstractNumId w:val="9"/>
  </w:num>
  <w:num w:numId="13">
    <w:abstractNumId w:val="16"/>
  </w:num>
  <w:num w:numId="14">
    <w:abstractNumId w:val="13"/>
  </w:num>
  <w:num w:numId="15">
    <w:abstractNumId w:val="25"/>
  </w:num>
  <w:num w:numId="16">
    <w:abstractNumId w:val="8"/>
  </w:num>
  <w:num w:numId="17">
    <w:abstractNumId w:val="23"/>
  </w:num>
  <w:num w:numId="18">
    <w:abstractNumId w:val="14"/>
  </w:num>
  <w:num w:numId="19">
    <w:abstractNumId w:val="10"/>
  </w:num>
  <w:num w:numId="20">
    <w:abstractNumId w:val="21"/>
  </w:num>
  <w:num w:numId="21">
    <w:abstractNumId w:val="0"/>
  </w:num>
  <w:num w:numId="22">
    <w:abstractNumId w:val="19"/>
  </w:num>
  <w:num w:numId="23">
    <w:abstractNumId w:val="3"/>
  </w:num>
  <w:num w:numId="24">
    <w:abstractNumId w:val="12"/>
  </w:num>
  <w:num w:numId="25">
    <w:abstractNumId w:val="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B5"/>
    <w:rsid w:val="003D73AC"/>
    <w:rsid w:val="00514C90"/>
    <w:rsid w:val="005672E8"/>
    <w:rsid w:val="006770B5"/>
    <w:rsid w:val="00913824"/>
    <w:rsid w:val="009416D0"/>
    <w:rsid w:val="00971E7F"/>
    <w:rsid w:val="0098702A"/>
    <w:rsid w:val="00AA384F"/>
    <w:rsid w:val="00AB344F"/>
    <w:rsid w:val="00AE6E38"/>
    <w:rsid w:val="00AF6BDB"/>
    <w:rsid w:val="00BE62D7"/>
    <w:rsid w:val="00BF0D9A"/>
    <w:rsid w:val="00C45E15"/>
    <w:rsid w:val="00C477A0"/>
    <w:rsid w:val="00D1020E"/>
    <w:rsid w:val="00DD1460"/>
    <w:rsid w:val="00EE1C8A"/>
    <w:rsid w:val="00F07518"/>
    <w:rsid w:val="00F26CE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73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1"/>
    <w:next w:val="Normal1"/>
    <w:link w:val="Heading3Char"/>
    <w:rsid w:val="006770B5"/>
    <w:pPr>
      <w:keepNext/>
      <w:keepLines/>
      <w:tabs>
        <w:tab w:val="left" w:pos="1418"/>
      </w:tabs>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0B5"/>
    <w:rPr>
      <w:rFonts w:ascii="Tahoma" w:hAnsi="Tahoma" w:cs="Tahoma"/>
      <w:sz w:val="16"/>
      <w:szCs w:val="16"/>
    </w:rPr>
  </w:style>
  <w:style w:type="character" w:styleId="Hyperlink">
    <w:name w:val="Hyperlink"/>
    <w:basedOn w:val="DefaultParagraphFont"/>
    <w:uiPriority w:val="99"/>
    <w:unhideWhenUsed/>
    <w:rsid w:val="006770B5"/>
    <w:rPr>
      <w:color w:val="0000FF" w:themeColor="hyperlink"/>
      <w:u w:val="single"/>
    </w:rPr>
  </w:style>
  <w:style w:type="character" w:customStyle="1" w:styleId="Heading3Char">
    <w:name w:val="Heading 3 Char"/>
    <w:basedOn w:val="DefaultParagraphFont"/>
    <w:link w:val="Heading3"/>
    <w:rsid w:val="006770B5"/>
    <w:rPr>
      <w:rFonts w:ascii="Calibri" w:eastAsia="Calibri" w:hAnsi="Calibri" w:cs="Calibri"/>
      <w:b/>
      <w:color w:val="000000"/>
      <w:sz w:val="24"/>
      <w:szCs w:val="20"/>
      <w:lang w:val="en-GB" w:eastAsia="en-GB"/>
    </w:rPr>
  </w:style>
  <w:style w:type="paragraph" w:customStyle="1" w:styleId="Normal1">
    <w:name w:val="Normal1"/>
    <w:rsid w:val="006770B5"/>
    <w:pPr>
      <w:spacing w:before="240" w:after="0" w:line="240" w:lineRule="auto"/>
    </w:pPr>
    <w:rPr>
      <w:rFonts w:ascii="Calibri" w:eastAsia="Calibri" w:hAnsi="Calibri" w:cs="Calibri"/>
      <w:color w:val="000000"/>
      <w:sz w:val="24"/>
      <w:szCs w:val="20"/>
      <w:lang w:val="en-GB" w:eastAsia="en-GB"/>
    </w:rPr>
  </w:style>
  <w:style w:type="paragraph" w:styleId="ListParagraph">
    <w:name w:val="List Paragraph"/>
    <w:basedOn w:val="Normal"/>
    <w:uiPriority w:val="34"/>
    <w:qFormat/>
    <w:rsid w:val="00C477A0"/>
    <w:pPr>
      <w:ind w:left="720"/>
      <w:contextualSpacing/>
    </w:pPr>
  </w:style>
  <w:style w:type="paragraph" w:styleId="Header">
    <w:name w:val="header"/>
    <w:basedOn w:val="Normal"/>
    <w:link w:val="HeaderChar"/>
    <w:uiPriority w:val="99"/>
    <w:unhideWhenUsed/>
    <w:rsid w:val="00F26C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CE1"/>
  </w:style>
  <w:style w:type="paragraph" w:styleId="Footer">
    <w:name w:val="footer"/>
    <w:basedOn w:val="Normal"/>
    <w:link w:val="FooterChar"/>
    <w:uiPriority w:val="99"/>
    <w:unhideWhenUsed/>
    <w:rsid w:val="00F26C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CE1"/>
  </w:style>
  <w:style w:type="paragraph" w:styleId="NormalWeb">
    <w:name w:val="Normal (Web)"/>
    <w:basedOn w:val="Normal"/>
    <w:uiPriority w:val="99"/>
    <w:semiHidden/>
    <w:unhideWhenUsed/>
    <w:rsid w:val="00EE1C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E1C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1"/>
    <w:next w:val="Normal1"/>
    <w:link w:val="Heading3Char"/>
    <w:rsid w:val="006770B5"/>
    <w:pPr>
      <w:keepNext/>
      <w:keepLines/>
      <w:tabs>
        <w:tab w:val="left" w:pos="1418"/>
      </w:tabs>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0B5"/>
    <w:rPr>
      <w:rFonts w:ascii="Tahoma" w:hAnsi="Tahoma" w:cs="Tahoma"/>
      <w:sz w:val="16"/>
      <w:szCs w:val="16"/>
    </w:rPr>
  </w:style>
  <w:style w:type="character" w:styleId="Hyperlink">
    <w:name w:val="Hyperlink"/>
    <w:basedOn w:val="DefaultParagraphFont"/>
    <w:uiPriority w:val="99"/>
    <w:unhideWhenUsed/>
    <w:rsid w:val="006770B5"/>
    <w:rPr>
      <w:color w:val="0000FF" w:themeColor="hyperlink"/>
      <w:u w:val="single"/>
    </w:rPr>
  </w:style>
  <w:style w:type="character" w:customStyle="1" w:styleId="Heading3Char">
    <w:name w:val="Heading 3 Char"/>
    <w:basedOn w:val="DefaultParagraphFont"/>
    <w:link w:val="Heading3"/>
    <w:rsid w:val="006770B5"/>
    <w:rPr>
      <w:rFonts w:ascii="Calibri" w:eastAsia="Calibri" w:hAnsi="Calibri" w:cs="Calibri"/>
      <w:b/>
      <w:color w:val="000000"/>
      <w:sz w:val="24"/>
      <w:szCs w:val="20"/>
      <w:lang w:val="en-GB" w:eastAsia="en-GB"/>
    </w:rPr>
  </w:style>
  <w:style w:type="paragraph" w:customStyle="1" w:styleId="Normal1">
    <w:name w:val="Normal1"/>
    <w:rsid w:val="006770B5"/>
    <w:pPr>
      <w:spacing w:before="240" w:after="0" w:line="240" w:lineRule="auto"/>
    </w:pPr>
    <w:rPr>
      <w:rFonts w:ascii="Calibri" w:eastAsia="Calibri" w:hAnsi="Calibri" w:cs="Calibri"/>
      <w:color w:val="000000"/>
      <w:sz w:val="24"/>
      <w:szCs w:val="20"/>
      <w:lang w:val="en-GB" w:eastAsia="en-GB"/>
    </w:rPr>
  </w:style>
  <w:style w:type="paragraph" w:styleId="ListParagraph">
    <w:name w:val="List Paragraph"/>
    <w:basedOn w:val="Normal"/>
    <w:uiPriority w:val="34"/>
    <w:qFormat/>
    <w:rsid w:val="00C477A0"/>
    <w:pPr>
      <w:ind w:left="720"/>
      <w:contextualSpacing/>
    </w:pPr>
  </w:style>
  <w:style w:type="paragraph" w:styleId="Header">
    <w:name w:val="header"/>
    <w:basedOn w:val="Normal"/>
    <w:link w:val="HeaderChar"/>
    <w:uiPriority w:val="99"/>
    <w:unhideWhenUsed/>
    <w:rsid w:val="00F26C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CE1"/>
  </w:style>
  <w:style w:type="paragraph" w:styleId="Footer">
    <w:name w:val="footer"/>
    <w:basedOn w:val="Normal"/>
    <w:link w:val="FooterChar"/>
    <w:uiPriority w:val="99"/>
    <w:unhideWhenUsed/>
    <w:rsid w:val="00F26C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CE1"/>
  </w:style>
  <w:style w:type="paragraph" w:styleId="NormalWeb">
    <w:name w:val="Normal (Web)"/>
    <w:basedOn w:val="Normal"/>
    <w:uiPriority w:val="99"/>
    <w:semiHidden/>
    <w:unhideWhenUsed/>
    <w:rsid w:val="00EE1C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E1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8391">
      <w:bodyDiv w:val="1"/>
      <w:marLeft w:val="0"/>
      <w:marRight w:val="0"/>
      <w:marTop w:val="0"/>
      <w:marBottom w:val="0"/>
      <w:divBdr>
        <w:top w:val="none" w:sz="0" w:space="0" w:color="auto"/>
        <w:left w:val="none" w:sz="0" w:space="0" w:color="auto"/>
        <w:bottom w:val="none" w:sz="0" w:space="0" w:color="auto"/>
        <w:right w:val="none" w:sz="0" w:space="0" w:color="auto"/>
      </w:divBdr>
    </w:div>
    <w:div w:id="487593252">
      <w:bodyDiv w:val="1"/>
      <w:marLeft w:val="0"/>
      <w:marRight w:val="0"/>
      <w:marTop w:val="0"/>
      <w:marBottom w:val="0"/>
      <w:divBdr>
        <w:top w:val="none" w:sz="0" w:space="0" w:color="auto"/>
        <w:left w:val="none" w:sz="0" w:space="0" w:color="auto"/>
        <w:bottom w:val="none" w:sz="0" w:space="0" w:color="auto"/>
        <w:right w:val="none" w:sz="0" w:space="0" w:color="auto"/>
      </w:divBdr>
    </w:div>
    <w:div w:id="10669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u.wpengine.com/wp-content/uploads/2014/07/Athena-SWAN-handbook-April-2014-v2.pdf"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055C6-D589-451A-AFC6-D84D46576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1605</Words>
  <Characters>9153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Draper</dc:creator>
  <cp:lastModifiedBy>Sylvia Draper</cp:lastModifiedBy>
  <cp:revision>2</cp:revision>
  <cp:lastPrinted>2018-06-12T08:01:00Z</cp:lastPrinted>
  <dcterms:created xsi:type="dcterms:W3CDTF">2018-07-17T17:40:00Z</dcterms:created>
  <dcterms:modified xsi:type="dcterms:W3CDTF">2018-07-17T17:40:00Z</dcterms:modified>
</cp:coreProperties>
</file>